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B04" w14:textId="5F6EA98A" w:rsidR="00B42234" w:rsidRPr="00276E20" w:rsidRDefault="003B7800" w:rsidP="00276E20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bookmarkStart w:id="0" w:name="_Hlk145413418"/>
      <w:r w:rsidRPr="00276E20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4073"/>
        <w:gridCol w:w="2598"/>
      </w:tblGrid>
      <w:tr w:rsidR="00EA7172" w:rsidRPr="00EA7172" w14:paraId="11402872" w14:textId="77777777" w:rsidTr="00906DE1">
        <w:trPr>
          <w:trHeight w:val="87"/>
        </w:trPr>
        <w:tc>
          <w:tcPr>
            <w:tcW w:w="5000" w:type="pct"/>
            <w:gridSpan w:val="3"/>
          </w:tcPr>
          <w:p w14:paraId="1229F4B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Διδακτική Ενότητα 1: </w:t>
            </w: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Τίτλος</w:t>
            </w:r>
          </w:p>
          <w:p w14:paraId="6E9CB94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ΠΡΟΣΕΓΓΙΣΕΙΣ ΚΑΘΟΡΙΣΜΟΥ, ΟΡΟΛΟΓΙΑ ΚΑΙ ΚΛΙΝΙΚΟ ΠΡΟΦΙΛ ΤΩΝ ΝΑΔ  ΚΑΙ ΑΛΛΩΝ ΕΕΑ</w:t>
            </w:r>
          </w:p>
          <w:p w14:paraId="0D7D0BF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iCs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Εισαγωγή και Βασικές Έννοιες στις ΝΑΔ</w:t>
            </w:r>
          </w:p>
        </w:tc>
      </w:tr>
      <w:tr w:rsidR="00EA7172" w:rsidRPr="00EA7172" w14:paraId="04787301" w14:textId="77777777" w:rsidTr="00906DE1">
        <w:trPr>
          <w:trHeight w:val="87"/>
        </w:trPr>
        <w:tc>
          <w:tcPr>
            <w:tcW w:w="5000" w:type="pct"/>
            <w:gridSpan w:val="3"/>
          </w:tcPr>
          <w:p w14:paraId="655C559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Περιγραφή</w:t>
            </w:r>
          </w:p>
          <w:p w14:paraId="224D245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iCs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381C85F5" w14:textId="77777777" w:rsidTr="00906DE1">
        <w:trPr>
          <w:trHeight w:val="512"/>
        </w:trPr>
        <w:tc>
          <w:tcPr>
            <w:tcW w:w="1536" w:type="pct"/>
          </w:tcPr>
          <w:p w14:paraId="1BE0ACD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Ώρες</w:t>
            </w:r>
          </w:p>
          <w:p w14:paraId="15531517" w14:textId="7C9E3F6C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</w:p>
        </w:tc>
        <w:tc>
          <w:tcPr>
            <w:tcW w:w="2115" w:type="pct"/>
          </w:tcPr>
          <w:p w14:paraId="2F5CBF3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Μέθοδος υλοποίησης </w:t>
            </w:r>
          </w:p>
          <w:p w14:paraId="141F783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αν μία ενότητα έχει παραπάνω από μία μέθοδο, αναγράψτε την σε επόμενη σειρά με τις αντίστοιχες ώρες</w:t>
            </w:r>
          </w:p>
        </w:tc>
        <w:tc>
          <w:tcPr>
            <w:tcW w:w="1349" w:type="pct"/>
          </w:tcPr>
          <w:p w14:paraId="1654BA4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Διδάσκουσα/Διδάσκων</w:t>
            </w:r>
          </w:p>
          <w:p w14:paraId="4B7A911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32CD6A44" w14:textId="77777777" w:rsidTr="00906DE1">
        <w:trPr>
          <w:trHeight w:val="128"/>
        </w:trPr>
        <w:tc>
          <w:tcPr>
            <w:tcW w:w="1536" w:type="pct"/>
          </w:tcPr>
          <w:p w14:paraId="394BCBB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</w:tcPr>
          <w:p w14:paraId="2BD3F34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Η ταξινόμηση των ΝΑΔ κατά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val="en-US" w:eastAsia="el-GR"/>
              </w:rPr>
              <w:t>DSM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-5 – Κλινική Περιγραφή – Συμπτωματολογία, Ταξινόμηση, Διαγνωστικά Κριτήρια και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Αιτιοπαθογένεια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. Μέθοδος υλοποίησης :(σύγχρονη εξ αποστάσεως).</w:t>
            </w:r>
          </w:p>
        </w:tc>
        <w:tc>
          <w:tcPr>
            <w:tcW w:w="1349" w:type="pct"/>
          </w:tcPr>
          <w:p w14:paraId="7D2951B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ΜΠΟΝΤΗ </w:t>
            </w:r>
          </w:p>
          <w:p w14:paraId="3530F90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5AAF3D8C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07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2A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Νοητική Αδυναμία (ΝΑ):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ορισμός, μοντέλα ερμηνείας και ταξινόμησης, κλινικά, γνωστικά και ψυχολογικά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χαρ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/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κά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, γενετικά σύνδρομα με ΝΑ, ΕΕΑ ατόμων με ΝΑ κ.α.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80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ΖΕΡΒΑ</w:t>
            </w:r>
          </w:p>
          <w:p w14:paraId="1CFE166E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4D4293BC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53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0C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Διαταραχή Αυτιστικού Φάσματος (ΔΑΦ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): ορισμός, κλινικά, γνωστικά και ψυχολογικά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χαρ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/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κά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, ΕΕΑ ατόμων με ΔΑΦ, κ.α.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27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ΜΠΟΝΤΗ </w:t>
            </w:r>
          </w:p>
          <w:p w14:paraId="73F65C5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522233FD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A7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E0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 xml:space="preserve">Κινητικές Διαταραχές (ΚΔ) &amp; Τικ: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ορισμοί και ταξινομήσεις, κλινικά, γνωστικά και ψυχολογικά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χαρ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/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κά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ΕΕΑ ατόμων με ΚΔ, η Αναπτυξιακή Διαταραχή του Συντονισμού των Κινήσεων (ΑΔΣΚ), Μορφές και Τύποι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Τικς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Σύνδρομο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val="en-US" w:eastAsia="el-GR"/>
              </w:rPr>
              <w:t>Tourette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κ.α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04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 xml:space="preserve"> ΖΕΡΒΑ</w:t>
            </w:r>
          </w:p>
          <w:p w14:paraId="63626DF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147AA5A7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9C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B1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Ειδική Μαθησιακή Διαταραχή (ΕΜΔ):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ορισμοί, προσεγγίσεις καθορισμού και μοντέλα ερμηνείας και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αιτιοπαθογένειας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η εξελικτική πορεία των ΕΜΔ από την προσχολική ηλικία ως την ενήλικη ζωή, κλινικό προφίλ, γνωστικά και ψυχολογικά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χαρ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/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κά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, οι επιμέρους μαθησιακοί τομείς στους οποίους εκδηλώνονται οι ΕΜΔ.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D0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ΜΠΟΝΤΗ </w:t>
            </w:r>
          </w:p>
          <w:p w14:paraId="63E99EB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2FA8723F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2F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2F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Διαταραχές Επικοινωνίας (ΔΕ)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ορισμοί, προσεγγίσεις καθορισμού και μοντέλα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αιτιοπαθογένειας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κλινικό προφίλ, διαφορετικοί τύποι ΔΕ Διαταραχές Ομιλίας-Λόγου, Ειδική Γλωσσική Διαταραχή, γνωστικά και ψυχολογικά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χαρ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/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κά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συννοσηρότητα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με ΕΜΔ και άλλες ΝΑΔ.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72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ΖΕΡΒΑ</w:t>
            </w:r>
          </w:p>
          <w:p w14:paraId="49251BC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70A246D0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E8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FF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 xml:space="preserve">Διαταραχή Ελλειμματικής Προσοχής με ή χωρίς </w:t>
            </w:r>
            <w:proofErr w:type="spellStart"/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Υπερκινητικότητα</w:t>
            </w:r>
            <w:proofErr w:type="spellEnd"/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 xml:space="preserve"> (ΔΕΠ-Υ):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ορισμοί, προσεγγίσεις καθορισμού και μοντέλα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αιτιοπαθογένειας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κλινικό προφίλ, γνωστικά και ψυχολογικά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χαρ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/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κά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ανά ηλικία,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συννοσηρότητα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με ΕΜΔ και άλλες ΝΑΔ.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01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ΜΠΟΝΤΗ </w:t>
            </w:r>
          </w:p>
          <w:p w14:paraId="73F3F24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24E38C89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C3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8E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Οι Ειδικές Εκπαιδευτικές Ανάγκες (ΕΕΑ) των ατόμων με ΝΑΔ</w:t>
            </w:r>
          </w:p>
          <w:p w14:paraId="368DE2B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Η Συμπεριληπτική Φιλοσοφία για τα άτομα με ΕΕΑ.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66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Κ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val="en-US" w:eastAsia="el-GR"/>
              </w:rPr>
              <w:t>O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ΥΝΔΟΥΡΟΥ</w:t>
            </w:r>
          </w:p>
        </w:tc>
      </w:tr>
      <w:tr w:rsidR="00EA7172" w:rsidRPr="00EA7172" w14:paraId="456EAA9A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DD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22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Η Ειδική Εκπαίδευση στην Ελλάδα</w:t>
            </w:r>
          </w:p>
          <w:p w14:paraId="64B0B6B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Άλλες μορφές ΕΕΑ (π.χ. Αισθητηριακά Προβλήματα, Ψυχιατρικές και Συναισθηματικές Διαταραχές, εγκεφαλική παράλυση, χρόνια νοσήματα, πολιτισμική ετερότητα, κ.α.).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9A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ΚΟΥΝΔΟΥΡΟΥ</w:t>
            </w:r>
          </w:p>
        </w:tc>
      </w:tr>
      <w:tr w:rsidR="00EA7172" w:rsidRPr="00EA7172" w14:paraId="43FF8941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E1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AF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Γνωστική Ψυχολογία – Μάθηση – Μνημονικές Λειτουργίες. Μέθοδος υλοποίησης :(σύγχρονη εξ αποστάσεως).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7C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ΣΟΦΟΛΟΓΗ </w:t>
            </w:r>
          </w:p>
        </w:tc>
      </w:tr>
      <w:tr w:rsidR="00EA7172" w:rsidRPr="00EA7172" w14:paraId="647EA434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04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93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Γλώσσα και Σκέψη,  γνωστική και γλωσσική ανάπτυξη, γνωστικά και γλωσσικά ελλείμματα σε ΕΜΔ, ΔΕ και άλλες ΝΑΔ κ.α.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06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ΣΟΦΟΛΟΓΗ </w:t>
            </w:r>
          </w:p>
        </w:tc>
      </w:tr>
      <w:tr w:rsidR="00EA7172" w:rsidRPr="00EA7172" w14:paraId="4DF40200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D3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0A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Η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Νευροψυχολογική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προσέγγιση των Ειδικών Μαθησιακών Διαταραχών.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77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ΘΕΟΦΥΛΙΔΗΣ</w:t>
            </w:r>
          </w:p>
        </w:tc>
      </w:tr>
      <w:tr w:rsidR="00EA7172" w:rsidRPr="00EA7172" w14:paraId="1ECE7F4D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11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59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Το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Νευροψυχολογικό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κλινικό πλαίσιο των ΕΑΔ.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DB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ΘΕΟΦΥΛΙΔΗΣ</w:t>
            </w:r>
          </w:p>
        </w:tc>
      </w:tr>
      <w:tr w:rsidR="00EA7172" w:rsidRPr="00EA7172" w14:paraId="7DDD39E1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19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B8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Συννοσηρότητα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μεταξύ των διαφορετικών τύπων ΝΑΔ.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29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   ΜΠΟΝΤΗ</w:t>
            </w:r>
          </w:p>
          <w:p w14:paraId="249B88D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13326D3E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92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D7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Νέα ερευνητικά δεδομένα σε σχέση με τη φύση,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αιτιοπαθογένεια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και κλινικό προφίλ των ΝΑΔ (μελέτες από τον χώρο της γενετικής, της νευρολογίας,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νευροψυχολογίας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παιδαγωγικής,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κτλ.).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FD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ΚΟΥΝΔΟΥΡΟΥ</w:t>
            </w:r>
          </w:p>
          <w:p w14:paraId="308C58A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48C9A6A4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43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5E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Δευτερογενείς συνέπειες των ΝΑΔ: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σε ψυχολογικό,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συμπεριφορικό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και κοινωνικό επίπεδο σε όλο το ηλικιακό φάσμα.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A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           ΜΠΟΝΤΗ</w:t>
            </w:r>
          </w:p>
          <w:p w14:paraId="4088524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6B340D3D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F8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26E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 xml:space="preserve">Συσχέτιση συγκεκριμένων τύπων ΝΑΔ με αποκλίνουσες, επιθετικές ή </w:t>
            </w:r>
            <w:proofErr w:type="spellStart"/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παραβατικές</w:t>
            </w:r>
            <w:proofErr w:type="spellEnd"/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 xml:space="preserve"> συμπεριφορές: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Νέα ερευνητικά δεδομένα συσχέτισης ΕΜΔ και ΔΕΠ-Υ με την παραβατικότητα. Παράγοντες Επικινδυνότητας – Πρόληψη.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2F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           ΜΠΟΝΤΗ </w:t>
            </w:r>
          </w:p>
          <w:p w14:paraId="526797B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0EB6DD8A" w14:textId="77777777" w:rsidTr="00906DE1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B1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  <w:p w14:paraId="02D365B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Διδακτική Ενότητα 2: </w:t>
            </w: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Τίτλος</w:t>
            </w:r>
          </w:p>
          <w:p w14:paraId="02F1BB9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Η ΔΙΑΓΝΩΣΤΙΚΗ ΔΙΑΔΙΚΑΣΙΑ ΣΤΙΣ ΝΑΔ</w:t>
            </w:r>
          </w:p>
        </w:tc>
      </w:tr>
      <w:tr w:rsidR="00EA7172" w:rsidRPr="00EA7172" w14:paraId="618FA752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26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8E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Η διαγνωστική διαδικασία για την αξιολόγηση των ΝΑΔ: Οι διαγνωστικοί φορείς στην Ελλάδα, η διεπιστημονική ομάδα, διαφορετικές μορφές διάγνωσης σε ποικίλα επιστημονικά πεδία. Το Νομοθετικό Πλαίσιο στην Ελλάδα για τα άτομα με Ε.Ε.Α – Ε.Μ.Δ: σε όλες τις Ηλικιακές ομάδες ως προς τη Διαγνωστική Διαδικασία.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95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ΒΑΒΕΤΣΗ </w:t>
            </w:r>
          </w:p>
        </w:tc>
      </w:tr>
      <w:tr w:rsidR="00EA7172" w:rsidRPr="00EA7172" w14:paraId="32FBABA4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A0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48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Δυσκολίες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Διαφοροδιάγνωσης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 στις ΝΑΔ.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5A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ΚΟΥΝΔΟΥΡΟΥ</w:t>
            </w:r>
          </w:p>
        </w:tc>
      </w:tr>
      <w:tr w:rsidR="00EA7172" w:rsidRPr="00EA7172" w14:paraId="1A078DB2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71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FB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Τα διαγνωστικά κριτήρια των διαφορετικών τύπων ΝΑΔ κατά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val="en-US" w:eastAsia="el-GR"/>
              </w:rPr>
              <w:t>DSM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-5 και ανά ηλικιακή ομάδα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79CF6DB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 xml:space="preserve">ΝΑ, ΕΜΔ, ΔΑΦ, ΔΕ, ΔΕΠ-Υ, ΚΔ.,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Προσχολική Ηλικία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: Σημαντικοί Αναπτυξιακοί Σταθμοί, Πρώιμες Ενδείξεις ‘Επικινδυνότητας’.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33E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ΜΠΟΝΤΗ</w:t>
            </w:r>
          </w:p>
        </w:tc>
      </w:tr>
      <w:tr w:rsidR="00EA7172" w:rsidRPr="00EA7172" w14:paraId="07DC7A81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3A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53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Σχολική Ηλικία: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Οι μορφές εκδήλωσης των ΕΜΔ στη Σχολική Ηλικία, Οι μαθησιακοί τομείς στους οποίους εκδηλώνονται οι ΕΜΔ – Τύποι ΕΜΔ: Ειδική Διαταραχή της Ανάγνωσης, Ειδική Διαταραχή της Γραπτής Έκφρασης, Ειδική Διαταραχή των Μαθηματικών.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C1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ΜΠΟΝΤΗ</w:t>
            </w:r>
          </w:p>
        </w:tc>
      </w:tr>
      <w:tr w:rsidR="00EA7172" w:rsidRPr="00EA7172" w14:paraId="6C1589F8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72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72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Εφηβική Ηλικία: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Το γνωστικό – μαθησιακό και ψυχολογικό προφίλ των παιδιών με ΕΜΔ στην εφηβική ηλικία,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Ενήλικη Ζωή: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Το ‘συνεχές’ των ΕΜΔ και η επίδρασή τους στις διάφορες εκφάνσεις της ζωής του ατόμου, Έγκαιρος Επαγγελματικός Προσανατολισμός.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17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ΖΕΡΒΑ</w:t>
            </w:r>
          </w:p>
        </w:tc>
      </w:tr>
      <w:tr w:rsidR="00EA7172" w:rsidRPr="00EA7172" w14:paraId="3D361CF9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CD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CB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Μέθοδοι και εργαλεία Αξιολόγησης Διάγνωσης στις ΝΑΔ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678BA4E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Κλινική αξιολόγηση, Ιστορικό, ερωτηματολόγια.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52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ΘΕΟΦΥΛΙΔΗΣ</w:t>
            </w:r>
          </w:p>
        </w:tc>
      </w:tr>
      <w:tr w:rsidR="00EA7172" w:rsidRPr="00EA7172" w14:paraId="69B51DBD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D3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76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Μέθοδοι και εργαλεία Αξιολόγησης Διάγνωσης στις ΝΑΔ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: σταθμισμένα τεστ νοημοσύνης, γνωστικών ικανοτήτων, κ.α.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87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ΣΟΦΟΛΟΓΗ</w:t>
            </w:r>
          </w:p>
        </w:tc>
      </w:tr>
      <w:tr w:rsidR="00EA7172" w:rsidRPr="00EA7172" w14:paraId="3E249F7E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CB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4C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Μέθοδοι και εργαλεία Αξιολόγησης Διάγνωσης στις ΝΑΔ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131C43E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Μαθησιακή Εκτίμηση (άτυπη και τυπική) στους επιμέρους μαθησιακούς τομείς, κ.α.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AA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ΜΠΟΝΤΗ </w:t>
            </w:r>
          </w:p>
        </w:tc>
      </w:tr>
      <w:tr w:rsidR="00EA7172" w:rsidRPr="00EA7172" w14:paraId="49DF596C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D6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0C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Παρουσίαση Ολοκληρωμένης Μαθησιακής Εκτίμησης και Συζήτηση Περιστατικών σε Διαγνωστικό Επίπεδο (Α).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0E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ΜΠΟΝΤΗ </w:t>
            </w:r>
          </w:p>
        </w:tc>
      </w:tr>
      <w:tr w:rsidR="00EA7172" w:rsidRPr="00EA7172" w14:paraId="255C8066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1F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9D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Παρουσίαση Ολοκληρωμένης Μαθησιακής Εκτίμησης και Συζήτηση Περιστατικών σε Διαγνωστικό Επίπεδο (Β).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31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   ΖΕΡΒΑ</w:t>
            </w:r>
          </w:p>
          <w:p w14:paraId="6325348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047C14AE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97B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02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Παρουσίαση Ολοκληρωμένης Μαθησιακής Εκτίμησης και Συζήτηση Περιστατικών σε Διαγνωστικό Επίπεδο (Γ).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1F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   ΜΠΟΝΤΗ  </w:t>
            </w:r>
          </w:p>
          <w:p w14:paraId="2455A3D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10E3AE92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DF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99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Παρουσίαση Ολοκληρωμένης Μαθησιακής Εκτίμησης και Συζήτηση Περιστατικών σε Διαγνωστικό Επίπεδο (Δ).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FA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ΖΕΡΒΑ</w:t>
            </w:r>
          </w:p>
        </w:tc>
      </w:tr>
      <w:tr w:rsidR="00EA7172" w:rsidRPr="00EA7172" w14:paraId="31EE88EB" w14:textId="77777777" w:rsidTr="00906DE1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3A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  <w:p w14:paraId="4640ABD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Διδακτική Ενότητα 3: </w:t>
            </w: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Τίτλος</w:t>
            </w:r>
          </w:p>
          <w:p w14:paraId="3A0D792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ΜΕΘΟΔΟΙ ΚΑΙ ΤΕΧΝΙΚΕΣ ΑΝΤΙΜΕΤΩΠΙΣΗΣ ΠΑΡΕΜΒΑΣΗΣ ΣΤΙΣ ΝΑΔ</w:t>
            </w:r>
          </w:p>
        </w:tc>
      </w:tr>
      <w:tr w:rsidR="00EA7172" w:rsidRPr="00EA7172" w14:paraId="11270922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37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3C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Συμπερίληψη στις ΝΑΔ και Πρώιμη Παρέμβαση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10B5A1F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Συμπεριληπτικές Προσεγγίσεις σε εκπαιδευτικό, κοινωνικό και επαγγελματικό επίπεδο για τα άτομα με ΝΑΔ σε ποικίλους φορείς και σε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όλες τις ηλικιακές ομάδες, πολιτισμική ετερότητα και ΕΕΠ.</w:t>
            </w:r>
          </w:p>
          <w:p w14:paraId="2313EED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Η σημασία της πρώιμης παρέμβασης. Μέθοδοι και Τεχνικές ΠΠ.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4C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ΚΟΥΝΔΟΥΡΟΥ</w:t>
            </w:r>
          </w:p>
        </w:tc>
      </w:tr>
      <w:tr w:rsidR="00EA7172" w:rsidRPr="00EA7172" w14:paraId="52885C26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1B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52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Ειδική Παιδαγωγική Παρέμβαση (ΕΠΠ)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: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 xml:space="preserve"> </w:t>
            </w:r>
          </w:p>
          <w:p w14:paraId="5C8D3E0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Τεχνικές ΕΠΠ σε άτομα με ΝΑΔ στους επιμέρους γνωστικούς, μαθησιακούς τομείς, ανά μαθησιακό τομέα και ανά ηλικιακή ομάδα.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Μεταγνωστική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Ικανότητα – Στρατηγικές Μάθησης – Μνημονική λειτουργία και Μνημονικές Στρατηγικές.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22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     ΖΕΡΒΑ</w:t>
            </w:r>
          </w:p>
          <w:p w14:paraId="20A7703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757199DC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EC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5E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Ψυχολογική Υποστήριξη ατόμων με ΝΑΔ και των οικογενειών τους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55ACFF5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Μέθοδοι, φορείς και τεχνικές ψυχολογικής υποστήριξης των ατόμων με ΝΑΔ και των οικογενειών τους. Ο ρόλος της Οικογένειας - Οικογενειακές Σχέσεις.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1E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ΒΑΒΕΤΣΗ</w:t>
            </w:r>
          </w:p>
        </w:tc>
      </w:tr>
      <w:tr w:rsidR="00EA7172" w:rsidRPr="00EA7172" w14:paraId="43DEF825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DC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52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Δ Εναλλακτικές Θεραπευτικές Προσεγγίσεις σε άτομα με ΝΑΔ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6335B40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Λογοθεραπεία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Εργοθεραπεία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, Ψυχοθεραπεία, Συμβουλευτική.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F0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ΒΑΒΕΤΣΗ </w:t>
            </w:r>
          </w:p>
        </w:tc>
      </w:tr>
      <w:tr w:rsidR="00EA7172" w:rsidRPr="00EA7172" w14:paraId="3AD06D95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5C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1C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u w:val="single"/>
                <w:lang w:eastAsia="el-GR"/>
              </w:rPr>
              <w:t>Δ Εναλλακτικές Θεραπευτικές Προσεγγίσεις σε άτομα με ΝΑΔ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: </w:t>
            </w:r>
          </w:p>
          <w:p w14:paraId="7E5DB55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Συμπεριφορικές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 Παρεμβάσεις, Φαρμακευτική Αγωγή, Μουσικοθεραπεία,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Δραματοθεραπεία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Χοροθεραπεία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, </w:t>
            </w: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κ.α.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9B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ΚΟΥΝΔΟΥΡΟΥ</w:t>
            </w:r>
          </w:p>
        </w:tc>
      </w:tr>
      <w:tr w:rsidR="00EA7172" w:rsidRPr="00EA7172" w14:paraId="163ADB21" w14:textId="77777777" w:rsidTr="00906DE1">
        <w:trPr>
          <w:trHeight w:val="15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E1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  <w:p w14:paraId="0D0B94B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Διδακτική Ενότητα 4: </w:t>
            </w:r>
            <w:r w:rsidRPr="00EA7172">
              <w:rPr>
                <w:rFonts w:eastAsia="Times New Roman" w:cstheme="minorHAnsi"/>
                <w:b/>
                <w:i/>
                <w:color w:val="05777D"/>
                <w:sz w:val="24"/>
                <w:lang w:eastAsia="el-GR"/>
              </w:rPr>
              <w:t>Τίτλος</w:t>
            </w:r>
          </w:p>
          <w:p w14:paraId="105489E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ΜΕΛΕΤΕΣ ΠΕΡΙΠΤΩΣΕΩΝ</w:t>
            </w:r>
          </w:p>
        </w:tc>
      </w:tr>
      <w:tr w:rsidR="00EA7172" w:rsidRPr="00EA7172" w14:paraId="5CBBF572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8A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3A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Α1 Μελέτη περιπτώσεων  παιδιών με ΕΜΔ  </w:t>
            </w:r>
          </w:p>
          <w:p w14:paraId="6F46C35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Παραδείγματα διάγνωσης και παρέμβασης- Πρακτικές εφαρμογές.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50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ΚΟΥΝΔΟΥΡΟΥ</w:t>
            </w:r>
          </w:p>
        </w:tc>
      </w:tr>
      <w:tr w:rsidR="00EA7172" w:rsidRPr="00EA7172" w14:paraId="175D3511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E1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30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Α2 Μελέτη περιπτώσεων  παιδιών με ΕΜΔ  </w:t>
            </w:r>
          </w:p>
          <w:p w14:paraId="18912E1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Παραδείγματα διάγνωσης και παρέμβασης- Πρακτικές εφαρμογές.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EFE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ΚΟΥΝΔΟΥΡΟΥ</w:t>
            </w:r>
          </w:p>
        </w:tc>
      </w:tr>
      <w:tr w:rsidR="00EA7172" w:rsidRPr="00EA7172" w14:paraId="3E1612C7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8E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A1D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Β1 Μελέτη περιπτώσεων  εφήβων με ΕΜΔ </w:t>
            </w:r>
          </w:p>
          <w:p w14:paraId="6EE05AF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Παραδείγματα διάγνωσης και παρέμβασης- Πρακτικές εφαρμογές.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D2B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ΣΟΦΟΛΟΓΗ </w:t>
            </w:r>
          </w:p>
        </w:tc>
      </w:tr>
      <w:tr w:rsidR="00EA7172" w:rsidRPr="00EA7172" w14:paraId="08D71A39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30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AD5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Β2 Μελέτη περιπτώσεων  εφήβων με ΕΜΔ </w:t>
            </w:r>
          </w:p>
          <w:p w14:paraId="64003220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Παραδείγματα διάγνωσης και παρέμβασης- Πρακτικές εφαρμογές.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1D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ΣΟΦΟΛΟΓΗ</w:t>
            </w:r>
          </w:p>
        </w:tc>
      </w:tr>
      <w:tr w:rsidR="00EA7172" w:rsidRPr="00EA7172" w14:paraId="06BEB815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398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27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Γ1Μελέτη περιπτώσεων ενηλίκων με ΕΜΔ </w:t>
            </w:r>
          </w:p>
          <w:p w14:paraId="60CA1725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Παραδείγματα διάγνωσης και παρέμβασης- Πρακτικές εφαρμογές.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274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ΒΑΒΕΤΣΗ</w:t>
            </w:r>
          </w:p>
        </w:tc>
      </w:tr>
      <w:tr w:rsidR="00EA7172" w:rsidRPr="00EA7172" w14:paraId="4DFAC215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C3C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lastRenderedPageBreak/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2E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Γ2 Μελέτη περιπτώσεων ενηλίκων με ΕΜΔ </w:t>
            </w:r>
          </w:p>
          <w:p w14:paraId="144CA72F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Παραδείγματα διάγνωσης και παρέμβασης- Πρακτικές εφαρμογές.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BF2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ΒΑΒΕΤΣΗ </w:t>
            </w:r>
          </w:p>
          <w:p w14:paraId="005813C3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</w:p>
        </w:tc>
      </w:tr>
      <w:tr w:rsidR="00EA7172" w:rsidRPr="00EA7172" w14:paraId="200E56F8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9D9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00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Σύνοψη Μαθήματος. 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CB7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ΜΠΟΝΤΗ</w:t>
            </w:r>
          </w:p>
        </w:tc>
      </w:tr>
      <w:tr w:rsidR="00EA7172" w:rsidRPr="00EA7172" w14:paraId="4D58AA85" w14:textId="77777777" w:rsidTr="00906DE1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D71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E7A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 xml:space="preserve">Ερωτήσεις </w:t>
            </w:r>
            <w:proofErr w:type="spellStart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Αυτοαξιολόγησης</w:t>
            </w:r>
            <w:proofErr w:type="spellEnd"/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. Μέθοδος υλοποίησης :(σύγχρονη εξ αποστάσεως).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3C6" w14:textId="77777777" w:rsidR="00EA7172" w:rsidRPr="00EA7172" w:rsidRDefault="00EA7172" w:rsidP="00EA7172">
            <w:pPr>
              <w:pStyle w:val="ListParagraph"/>
              <w:ind w:left="-66"/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</w:pPr>
            <w:r w:rsidRPr="00EA7172">
              <w:rPr>
                <w:rFonts w:eastAsia="Times New Roman" w:cstheme="minorHAnsi"/>
                <w:b/>
                <w:color w:val="05777D"/>
                <w:sz w:val="24"/>
                <w:lang w:eastAsia="el-GR"/>
              </w:rPr>
              <w:t>ΜΠΟΝΤΗ</w:t>
            </w:r>
          </w:p>
        </w:tc>
      </w:tr>
    </w:tbl>
    <w:p w14:paraId="57068FD8" w14:textId="77777777" w:rsidR="00B42234" w:rsidRDefault="00B42234" w:rsidP="00B42234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</w:p>
    <w:p w14:paraId="609AF2E0" w14:textId="77777777" w:rsidR="00B42234" w:rsidRDefault="00B42234" w:rsidP="00B42234">
      <w:pPr>
        <w:pStyle w:val="ListParagraph"/>
        <w:ind w:left="-66"/>
        <w:rPr>
          <w:rFonts w:cstheme="minorHAnsi"/>
          <w:i/>
          <w:lang w:eastAsia="el-GR"/>
        </w:rPr>
      </w:pPr>
    </w:p>
    <w:p w14:paraId="2ADB3404" w14:textId="77777777" w:rsidR="00B42234" w:rsidRDefault="00B42234" w:rsidP="00B42234">
      <w:pPr>
        <w:pStyle w:val="ListParagraph"/>
        <w:ind w:left="-66"/>
        <w:rPr>
          <w:rFonts w:cstheme="minorHAnsi"/>
          <w:i/>
          <w:lang w:eastAsia="el-GR"/>
        </w:rPr>
      </w:pPr>
    </w:p>
    <w:bookmarkEnd w:id="0"/>
    <w:p w14:paraId="55333662" w14:textId="77777777" w:rsidR="0032598C" w:rsidRPr="00E16A49" w:rsidRDefault="0032598C" w:rsidP="00A36FC6">
      <w:pPr>
        <w:pStyle w:val="ListParagraph"/>
        <w:ind w:left="-66"/>
        <w:rPr>
          <w:rFonts w:cstheme="minorHAnsi"/>
          <w:b/>
          <w:bCs/>
          <w:color w:val="05777D"/>
        </w:rPr>
      </w:pPr>
    </w:p>
    <w:sectPr w:rsidR="0032598C" w:rsidRPr="00E16A49" w:rsidSect="005F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ED0B" w14:textId="77777777" w:rsidR="00F802D7" w:rsidRDefault="00F802D7">
      <w:pPr>
        <w:spacing w:before="0" w:after="0" w:line="240" w:lineRule="auto"/>
      </w:pPr>
      <w:r>
        <w:separator/>
      </w:r>
    </w:p>
  </w:endnote>
  <w:endnote w:type="continuationSeparator" w:id="0">
    <w:p w14:paraId="540648F0" w14:textId="77777777" w:rsidR="00F802D7" w:rsidRDefault="00F802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724A" w14:textId="77777777" w:rsidR="00FB4CC8" w:rsidRDefault="00FB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A347" w14:textId="77777777" w:rsidR="00F802D7" w:rsidRDefault="00F802D7">
      <w:pPr>
        <w:spacing w:before="0" w:after="0" w:line="240" w:lineRule="auto"/>
      </w:pPr>
      <w:r>
        <w:separator/>
      </w:r>
    </w:p>
  </w:footnote>
  <w:footnote w:type="continuationSeparator" w:id="0">
    <w:p w14:paraId="0E9F3C57" w14:textId="77777777" w:rsidR="00F802D7" w:rsidRDefault="00F802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336" w14:textId="77777777" w:rsidR="00FB4CC8" w:rsidRDefault="00FB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C45" w14:textId="41DEAE17" w:rsidR="005F7D60" w:rsidRPr="00876AD4" w:rsidRDefault="005F7D60" w:rsidP="00FB4CC8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5F176A14" w14:textId="17DE2EB5" w:rsidR="007A1CF8" w:rsidRDefault="007A1CF8" w:rsidP="005F7D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3DFB" w14:textId="77777777" w:rsidR="00FB4CC8" w:rsidRDefault="00FB4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6E0C0D08"/>
    <w:multiLevelType w:val="hybridMultilevel"/>
    <w:tmpl w:val="4A6CA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0B5D"/>
    <w:rsid w:val="00081285"/>
    <w:rsid w:val="0008659A"/>
    <w:rsid w:val="000A7526"/>
    <w:rsid w:val="000B6B2D"/>
    <w:rsid w:val="000C2264"/>
    <w:rsid w:val="000D4CA0"/>
    <w:rsid w:val="00103343"/>
    <w:rsid w:val="0011377E"/>
    <w:rsid w:val="00150163"/>
    <w:rsid w:val="001567A6"/>
    <w:rsid w:val="00181F9B"/>
    <w:rsid w:val="00185A06"/>
    <w:rsid w:val="001B7449"/>
    <w:rsid w:val="001D1E81"/>
    <w:rsid w:val="00221C7D"/>
    <w:rsid w:val="002320C6"/>
    <w:rsid w:val="0024382E"/>
    <w:rsid w:val="00272E2F"/>
    <w:rsid w:val="0027432B"/>
    <w:rsid w:val="002755CD"/>
    <w:rsid w:val="00276E20"/>
    <w:rsid w:val="00281030"/>
    <w:rsid w:val="00296919"/>
    <w:rsid w:val="003105D7"/>
    <w:rsid w:val="0032286F"/>
    <w:rsid w:val="0032598C"/>
    <w:rsid w:val="0034151A"/>
    <w:rsid w:val="003479D1"/>
    <w:rsid w:val="00361B66"/>
    <w:rsid w:val="0037321F"/>
    <w:rsid w:val="003B02E8"/>
    <w:rsid w:val="003B7800"/>
    <w:rsid w:val="003C20BD"/>
    <w:rsid w:val="003C4BAC"/>
    <w:rsid w:val="003E495E"/>
    <w:rsid w:val="003F444A"/>
    <w:rsid w:val="00405C50"/>
    <w:rsid w:val="004202BA"/>
    <w:rsid w:val="00424C17"/>
    <w:rsid w:val="00431A42"/>
    <w:rsid w:val="00456676"/>
    <w:rsid w:val="00481406"/>
    <w:rsid w:val="004D40DA"/>
    <w:rsid w:val="004F0FAE"/>
    <w:rsid w:val="004F55FA"/>
    <w:rsid w:val="00516974"/>
    <w:rsid w:val="0054516C"/>
    <w:rsid w:val="005502A1"/>
    <w:rsid w:val="00570139"/>
    <w:rsid w:val="0057698E"/>
    <w:rsid w:val="005A2FA6"/>
    <w:rsid w:val="005A47AE"/>
    <w:rsid w:val="005F6C0B"/>
    <w:rsid w:val="005F7D60"/>
    <w:rsid w:val="006278D1"/>
    <w:rsid w:val="00660599"/>
    <w:rsid w:val="006763C7"/>
    <w:rsid w:val="006A0699"/>
    <w:rsid w:val="006B00AC"/>
    <w:rsid w:val="006B380A"/>
    <w:rsid w:val="006B471B"/>
    <w:rsid w:val="00710BC8"/>
    <w:rsid w:val="007534B4"/>
    <w:rsid w:val="00791D98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35F81"/>
    <w:rsid w:val="00841C05"/>
    <w:rsid w:val="00876AD4"/>
    <w:rsid w:val="008A1AE7"/>
    <w:rsid w:val="008B77F0"/>
    <w:rsid w:val="008E48C3"/>
    <w:rsid w:val="00900A6A"/>
    <w:rsid w:val="00907E19"/>
    <w:rsid w:val="00916326"/>
    <w:rsid w:val="00931F7F"/>
    <w:rsid w:val="00941D1B"/>
    <w:rsid w:val="00944F98"/>
    <w:rsid w:val="009515BA"/>
    <w:rsid w:val="009A10B8"/>
    <w:rsid w:val="009A199C"/>
    <w:rsid w:val="009D5043"/>
    <w:rsid w:val="009D7213"/>
    <w:rsid w:val="009E0BD1"/>
    <w:rsid w:val="00A03DCB"/>
    <w:rsid w:val="00A05BB1"/>
    <w:rsid w:val="00A15C5C"/>
    <w:rsid w:val="00A36FC6"/>
    <w:rsid w:val="00A46621"/>
    <w:rsid w:val="00AA0AB9"/>
    <w:rsid w:val="00AB4854"/>
    <w:rsid w:val="00AB64D8"/>
    <w:rsid w:val="00AC7AF7"/>
    <w:rsid w:val="00AD1EE6"/>
    <w:rsid w:val="00AE5F71"/>
    <w:rsid w:val="00AF0F72"/>
    <w:rsid w:val="00B129D1"/>
    <w:rsid w:val="00B22EFF"/>
    <w:rsid w:val="00B42234"/>
    <w:rsid w:val="00B701C8"/>
    <w:rsid w:val="00B72637"/>
    <w:rsid w:val="00B817DA"/>
    <w:rsid w:val="00B839F7"/>
    <w:rsid w:val="00B87D81"/>
    <w:rsid w:val="00B93580"/>
    <w:rsid w:val="00C047E9"/>
    <w:rsid w:val="00C069FC"/>
    <w:rsid w:val="00C41C80"/>
    <w:rsid w:val="00C4728C"/>
    <w:rsid w:val="00C57A3C"/>
    <w:rsid w:val="00C6445C"/>
    <w:rsid w:val="00C758AA"/>
    <w:rsid w:val="00C835AF"/>
    <w:rsid w:val="00CB0945"/>
    <w:rsid w:val="00D04F3E"/>
    <w:rsid w:val="00D35C7A"/>
    <w:rsid w:val="00D43045"/>
    <w:rsid w:val="00D44962"/>
    <w:rsid w:val="00D4507D"/>
    <w:rsid w:val="00D6740C"/>
    <w:rsid w:val="00D81977"/>
    <w:rsid w:val="00DA4544"/>
    <w:rsid w:val="00DA651D"/>
    <w:rsid w:val="00DD01D1"/>
    <w:rsid w:val="00DD7C47"/>
    <w:rsid w:val="00E01EA6"/>
    <w:rsid w:val="00E06575"/>
    <w:rsid w:val="00E15C21"/>
    <w:rsid w:val="00E16A49"/>
    <w:rsid w:val="00E24D9E"/>
    <w:rsid w:val="00EA7172"/>
    <w:rsid w:val="00F20DE4"/>
    <w:rsid w:val="00F319E1"/>
    <w:rsid w:val="00F802D7"/>
    <w:rsid w:val="00F90728"/>
    <w:rsid w:val="00FB4CC8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1399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5</cp:revision>
  <dcterms:created xsi:type="dcterms:W3CDTF">2024-07-15T08:08:00Z</dcterms:created>
  <dcterms:modified xsi:type="dcterms:W3CDTF">2024-07-16T07:38:00Z</dcterms:modified>
</cp:coreProperties>
</file>