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AC97" w14:textId="69D9C35E" w:rsidR="003B7800" w:rsidRPr="00777BE6" w:rsidRDefault="00D04493" w:rsidP="00777BE6">
      <w:pPr>
        <w:jc w:val="center"/>
        <w:rPr>
          <w:rFonts w:cstheme="minorHAnsi"/>
          <w:b/>
          <w:bCs/>
          <w:i/>
          <w:iCs/>
        </w:rPr>
      </w:pPr>
      <w:r w:rsidRPr="00777BE6">
        <w:rPr>
          <w:rFonts w:ascii="Times New Roman" w:hAnsi="Times New Roman" w:cs="Times New Roman"/>
          <w:b/>
          <w:bCs/>
          <w:i/>
          <w:iCs/>
        </w:rPr>
        <w:t>Αρχική</w:t>
      </w:r>
      <w:r w:rsidR="008927A7" w:rsidRPr="00777BE6">
        <w:rPr>
          <w:rFonts w:ascii="Times New Roman" w:hAnsi="Times New Roman" w:cs="Times New Roman"/>
          <w:b/>
          <w:bCs/>
          <w:i/>
          <w:iCs/>
        </w:rPr>
        <w:t xml:space="preserve"> κατάρτιση ελεγκτών δημοσίων και ιδιωτικών ΚΤΕΟ οχημάτων μεταφοράς επικίνδυνων εμπορευμάτων </w:t>
      </w:r>
      <w:r w:rsidR="008927A7" w:rsidRPr="00777BE6">
        <w:rPr>
          <w:rFonts w:ascii="Times New Roman" w:hAnsi="Times New Roman" w:cs="Times New Roman"/>
          <w:b/>
          <w:bCs/>
          <w:i/>
          <w:iCs/>
          <w:lang w:val="en-US"/>
        </w:rPr>
        <w:t>ADR</w:t>
      </w:r>
      <w:r w:rsidR="008927A7" w:rsidRPr="00777BE6">
        <w:rPr>
          <w:rFonts w:ascii="Times New Roman" w:hAnsi="Times New Roman" w:cs="Times New Roman"/>
          <w:b/>
          <w:bCs/>
          <w:i/>
          <w:iCs/>
        </w:rPr>
        <w:t xml:space="preserve"> και ευπαθών τροφίμων </w:t>
      </w:r>
      <w:r w:rsidR="008927A7" w:rsidRPr="00777BE6">
        <w:rPr>
          <w:rFonts w:ascii="Times New Roman" w:hAnsi="Times New Roman" w:cs="Times New Roman"/>
          <w:b/>
          <w:bCs/>
          <w:i/>
          <w:iCs/>
          <w:lang w:val="en-US"/>
        </w:rPr>
        <w:t>ATP</w:t>
      </w:r>
    </w:p>
    <w:p w14:paraId="3C7902C8" w14:textId="77777777" w:rsidR="004F0FAE" w:rsidRPr="00876AD4" w:rsidRDefault="004F0FAE" w:rsidP="000C2264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4A02627F" w14:textId="1943DCBA" w:rsidR="003B7800" w:rsidRDefault="003B7800" w:rsidP="00A15C5C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04565982" w14:textId="77777777" w:rsidR="00645A84" w:rsidRDefault="00702F17" w:rsidP="00645A84">
      <w:pPr>
        <w:rPr>
          <w:rFonts w:cstheme="minorHAnsi"/>
          <w:i/>
          <w:lang w:eastAsia="el-GR"/>
        </w:rPr>
      </w:pPr>
      <w:r w:rsidRPr="00645A84">
        <w:rPr>
          <w:rFonts w:cstheme="minorHAnsi"/>
          <w:b/>
          <w:bCs/>
          <w:i/>
          <w:lang w:eastAsia="el-GR"/>
        </w:rPr>
        <w:t xml:space="preserve">ΘΕΜΑΤΙΚΗ ΕΝΟΤΗΤΑ 1 - </w:t>
      </w:r>
      <w:r w:rsidR="0048382E" w:rsidRPr="00645A84">
        <w:rPr>
          <w:rFonts w:cstheme="minorHAnsi"/>
          <w:b/>
          <w:bCs/>
          <w:i/>
          <w:lang w:eastAsia="el-GR"/>
        </w:rPr>
        <w:t>Αρχική</w:t>
      </w:r>
      <w:r w:rsidRPr="00645A84">
        <w:rPr>
          <w:rFonts w:cstheme="minorHAnsi"/>
          <w:b/>
          <w:bCs/>
          <w:i/>
          <w:lang w:eastAsia="el-GR"/>
        </w:rPr>
        <w:t xml:space="preserve"> κατάρτιση ελεγκτών δημοσίων και ιδιωτικών ΚΤΕΟ οχημάτων μεταφοράς επικίνδυνων εμπορευμάτων ADR.</w:t>
      </w:r>
      <w:r w:rsidR="00EA5F03" w:rsidRPr="00645A84">
        <w:rPr>
          <w:rFonts w:cstheme="minorHAnsi"/>
          <w:b/>
          <w:bCs/>
          <w:i/>
          <w:lang w:eastAsia="el-GR"/>
        </w:rPr>
        <w:t xml:space="preserve"> Σύνολο </w:t>
      </w:r>
      <w:r w:rsidR="00E7387E" w:rsidRPr="00645A84">
        <w:rPr>
          <w:rFonts w:cstheme="minorHAnsi"/>
          <w:b/>
          <w:bCs/>
          <w:i/>
          <w:lang w:eastAsia="el-GR"/>
        </w:rPr>
        <w:t>24</w:t>
      </w:r>
      <w:r w:rsidR="00EA5F03" w:rsidRPr="00645A84">
        <w:rPr>
          <w:rFonts w:cstheme="minorHAnsi"/>
          <w:b/>
          <w:bCs/>
          <w:i/>
          <w:lang w:eastAsia="el-GR"/>
        </w:rPr>
        <w:t xml:space="preserve"> </w:t>
      </w:r>
      <w:r w:rsidR="002A0391" w:rsidRPr="00645A84">
        <w:rPr>
          <w:rFonts w:cstheme="minorHAnsi"/>
          <w:b/>
          <w:bCs/>
          <w:i/>
          <w:lang w:eastAsia="el-GR"/>
        </w:rPr>
        <w:t xml:space="preserve">διδακτικές </w:t>
      </w:r>
      <w:r w:rsidR="00EA5F03" w:rsidRPr="00645A84">
        <w:rPr>
          <w:rFonts w:cstheme="minorHAnsi"/>
          <w:b/>
          <w:bCs/>
          <w:i/>
          <w:lang w:eastAsia="el-GR"/>
        </w:rPr>
        <w:t xml:space="preserve">ώρες </w:t>
      </w:r>
      <w:r w:rsidR="00E7387E" w:rsidRPr="00645A84">
        <w:rPr>
          <w:rFonts w:cstheme="minorHAnsi"/>
          <w:b/>
          <w:bCs/>
          <w:i/>
          <w:lang w:eastAsia="el-GR"/>
        </w:rPr>
        <w:t xml:space="preserve">θεωρητικής </w:t>
      </w:r>
      <w:r w:rsidR="00EA5F03" w:rsidRPr="00645A84">
        <w:rPr>
          <w:rFonts w:cstheme="minorHAnsi"/>
          <w:b/>
          <w:bCs/>
          <w:i/>
          <w:lang w:eastAsia="el-GR"/>
        </w:rPr>
        <w:t>εκπαίδευσης</w:t>
      </w:r>
      <w:r w:rsidR="00E7387E" w:rsidRPr="00645A84">
        <w:rPr>
          <w:rFonts w:cstheme="minorHAnsi"/>
          <w:b/>
          <w:bCs/>
          <w:i/>
          <w:lang w:eastAsia="el-GR"/>
        </w:rPr>
        <w:t>, 6 διδακτικές ώρες πρακτικής εκπαίδευσης</w:t>
      </w:r>
      <w:r w:rsidR="00EA5F03" w:rsidRPr="00645A84">
        <w:rPr>
          <w:rFonts w:cstheme="minorHAnsi"/>
          <w:b/>
          <w:bCs/>
          <w:i/>
          <w:lang w:eastAsia="el-GR"/>
        </w:rPr>
        <w:t xml:space="preserve"> και</w:t>
      </w:r>
      <w:r w:rsidR="00E7387E" w:rsidRPr="00645A84">
        <w:rPr>
          <w:rFonts w:cstheme="minorHAnsi"/>
          <w:b/>
          <w:bCs/>
          <w:i/>
          <w:lang w:eastAsia="el-GR"/>
        </w:rPr>
        <w:t xml:space="preserve"> 1</w:t>
      </w:r>
      <w:r w:rsidR="00EA5F03" w:rsidRPr="00645A84">
        <w:rPr>
          <w:rFonts w:cstheme="minorHAnsi"/>
          <w:b/>
          <w:bCs/>
          <w:i/>
          <w:lang w:eastAsia="el-GR"/>
        </w:rPr>
        <w:t xml:space="preserve"> </w:t>
      </w:r>
      <w:r w:rsidR="002A0391" w:rsidRPr="00645A84">
        <w:rPr>
          <w:rFonts w:cstheme="minorHAnsi"/>
          <w:b/>
          <w:bCs/>
          <w:i/>
          <w:lang w:eastAsia="el-GR"/>
        </w:rPr>
        <w:t>διδακτικ</w:t>
      </w:r>
      <w:r w:rsidR="00E7387E" w:rsidRPr="00645A84">
        <w:rPr>
          <w:rFonts w:cstheme="minorHAnsi"/>
          <w:b/>
          <w:bCs/>
          <w:i/>
          <w:lang w:eastAsia="el-GR"/>
        </w:rPr>
        <w:t>ή</w:t>
      </w:r>
      <w:r w:rsidR="002A0391" w:rsidRPr="00645A84">
        <w:rPr>
          <w:rFonts w:cstheme="minorHAnsi"/>
          <w:b/>
          <w:bCs/>
          <w:i/>
          <w:lang w:eastAsia="el-GR"/>
        </w:rPr>
        <w:t xml:space="preserve"> </w:t>
      </w:r>
      <w:r w:rsidR="00EA5F03" w:rsidRPr="00645A84">
        <w:rPr>
          <w:rFonts w:cstheme="minorHAnsi"/>
          <w:b/>
          <w:bCs/>
          <w:i/>
          <w:lang w:eastAsia="el-GR"/>
        </w:rPr>
        <w:t>ώρ</w:t>
      </w:r>
      <w:r w:rsidR="00E7387E" w:rsidRPr="00645A84">
        <w:rPr>
          <w:rFonts w:cstheme="minorHAnsi"/>
          <w:b/>
          <w:bCs/>
          <w:i/>
          <w:lang w:eastAsia="el-GR"/>
        </w:rPr>
        <w:t>α</w:t>
      </w:r>
      <w:r w:rsidR="00EA5F03" w:rsidRPr="00645A84">
        <w:rPr>
          <w:rFonts w:cstheme="minorHAnsi"/>
          <w:b/>
          <w:bCs/>
          <w:i/>
          <w:lang w:eastAsia="el-GR"/>
        </w:rPr>
        <w:t xml:space="preserve"> εξέτασης.</w:t>
      </w:r>
    </w:p>
    <w:p w14:paraId="689B2541" w14:textId="2AAE85F9" w:rsidR="00702F17" w:rsidRPr="00645A84" w:rsidRDefault="00702F17" w:rsidP="00645A84">
      <w:pPr>
        <w:rPr>
          <w:rFonts w:cstheme="minorHAnsi"/>
          <w:i/>
          <w:lang w:eastAsia="el-GR"/>
        </w:rPr>
      </w:pPr>
      <w:r>
        <w:rPr>
          <w:rFonts w:ascii="Calibri" w:eastAsia="Times New Roman" w:hAnsi="Calibri" w:cs="Times New Roman"/>
          <w:i/>
        </w:rPr>
        <w:t xml:space="preserve">Περιγραφή </w:t>
      </w:r>
      <w:r w:rsidRPr="002A0391">
        <w:rPr>
          <w:rFonts w:ascii="Calibri" w:eastAsia="Times New Roman" w:hAnsi="Calibri" w:cs="Times New Roman"/>
          <w:i/>
        </w:rPr>
        <w:t xml:space="preserve">(σύμφωνα με το Παράρτημα </w:t>
      </w:r>
      <w:r w:rsidRPr="002A0391">
        <w:rPr>
          <w:rFonts w:ascii="Calibri" w:eastAsia="Times New Roman" w:hAnsi="Calibri" w:cs="Times New Roman"/>
          <w:i/>
          <w:lang w:val="en-US"/>
        </w:rPr>
        <w:t>V</w:t>
      </w:r>
      <w:r w:rsidRPr="002A0391">
        <w:rPr>
          <w:rFonts w:ascii="Calibri" w:eastAsia="Times New Roman" w:hAnsi="Calibri" w:cs="Times New Roman"/>
          <w:i/>
          <w:lang w:val="de-DE"/>
        </w:rPr>
        <w:t>a</w:t>
      </w:r>
      <w:r w:rsidRPr="002A0391">
        <w:rPr>
          <w:rFonts w:ascii="Calibri" w:eastAsia="Times New Roman" w:hAnsi="Calibri" w:cs="Times New Roman"/>
          <w:i/>
        </w:rPr>
        <w:t xml:space="preserve"> του ΦΕΚ Β’ 226/20.01.2023)</w:t>
      </w:r>
    </w:p>
    <w:p w14:paraId="50137DAA" w14:textId="77777777" w:rsidR="00E7387E" w:rsidRDefault="00E7387E" w:rsidP="00E7387E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1. Εισαγωγή στη Συμφωνία ADR- Βασικές έννοιες </w:t>
      </w:r>
    </w:p>
    <w:p w14:paraId="16C8B3AF" w14:textId="77777777" w:rsidR="00E7387E" w:rsidRDefault="00E7387E" w:rsidP="00E7387E">
      <w:pPr>
        <w:keepNext/>
        <w:spacing w:after="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2. Απαιτήσεις Μερών Συμφωνίας ADR: </w:t>
      </w:r>
    </w:p>
    <w:p w14:paraId="2CA2061C" w14:textId="77777777" w:rsidR="00E7387E" w:rsidRPr="00EB1023" w:rsidRDefault="00E7387E" w:rsidP="00E7387E">
      <w:pPr>
        <w:pStyle w:val="ListParagraph"/>
        <w:keepNext/>
        <w:numPr>
          <w:ilvl w:val="0"/>
          <w:numId w:val="16"/>
        </w:numPr>
        <w:spacing w:before="0" w:after="120" w:line="240" w:lineRule="auto"/>
        <w:ind w:left="595" w:right="357" w:hanging="357"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>Μέρος 1 (ορισμοί, μεταβατικές διατάξεις)</w:t>
      </w:r>
    </w:p>
    <w:p w14:paraId="5ED1293A" w14:textId="77777777" w:rsidR="00E7387E" w:rsidRPr="00EB1023" w:rsidRDefault="00E7387E" w:rsidP="00E7387E">
      <w:pPr>
        <w:pStyle w:val="ListParagraph"/>
        <w:keepNext/>
        <w:numPr>
          <w:ilvl w:val="0"/>
          <w:numId w:val="16"/>
        </w:numPr>
        <w:spacing w:before="0" w:after="120" w:line="240" w:lineRule="auto"/>
        <w:ind w:left="595" w:right="357" w:hanging="357"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Μέρος 2 (ταξινόμηση υλών) </w:t>
      </w:r>
    </w:p>
    <w:p w14:paraId="192773BC" w14:textId="77777777" w:rsidR="00E7387E" w:rsidRPr="00EB1023" w:rsidRDefault="00E7387E" w:rsidP="00E7387E">
      <w:pPr>
        <w:pStyle w:val="ListParagraph"/>
        <w:keepNext/>
        <w:numPr>
          <w:ilvl w:val="0"/>
          <w:numId w:val="16"/>
        </w:numPr>
        <w:spacing w:before="0" w:after="120" w:line="240" w:lineRule="auto"/>
        <w:ind w:left="595" w:right="357" w:hanging="357"/>
        <w:rPr>
          <w:rFonts w:ascii="Calibri" w:eastAsia="Times New Roman" w:hAnsi="Calibri" w:cs="Times New Roman"/>
          <w:i/>
          <w:iCs/>
        </w:rPr>
      </w:pPr>
      <w:proofErr w:type="spellStart"/>
      <w:r w:rsidRPr="00EB1023">
        <w:rPr>
          <w:rFonts w:ascii="Calibri" w:eastAsia="Times New Roman" w:hAnsi="Calibri" w:cs="Times New Roman"/>
          <w:i/>
          <w:iCs/>
        </w:rPr>
        <w:t>Mέρος</w:t>
      </w:r>
      <w:proofErr w:type="spellEnd"/>
      <w:r w:rsidRPr="00EB1023">
        <w:rPr>
          <w:rFonts w:ascii="Calibri" w:eastAsia="Times New Roman" w:hAnsi="Calibri" w:cs="Times New Roman"/>
          <w:i/>
          <w:iCs/>
        </w:rPr>
        <w:t xml:space="preserve"> 3 (κατάλογος ουσιών/επεξήγηση στηλών) </w:t>
      </w:r>
    </w:p>
    <w:p w14:paraId="198FA8B9" w14:textId="77777777" w:rsidR="00E7387E" w:rsidRPr="00EB1023" w:rsidRDefault="00E7387E" w:rsidP="00E7387E">
      <w:pPr>
        <w:pStyle w:val="ListParagraph"/>
        <w:keepNext/>
        <w:numPr>
          <w:ilvl w:val="0"/>
          <w:numId w:val="16"/>
        </w:numPr>
        <w:spacing w:before="0" w:after="120" w:line="240" w:lineRule="auto"/>
        <w:ind w:left="595" w:right="357" w:hanging="357"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Μέρος 4 (κωδικοποίηση δεξαμενών, ιεράρχηση, αρχείο) </w:t>
      </w:r>
    </w:p>
    <w:p w14:paraId="3748883D" w14:textId="77777777" w:rsidR="00E7387E" w:rsidRPr="00EB1023" w:rsidRDefault="00E7387E" w:rsidP="00E7387E">
      <w:pPr>
        <w:pStyle w:val="ListParagraph"/>
        <w:keepNext/>
        <w:numPr>
          <w:ilvl w:val="0"/>
          <w:numId w:val="16"/>
        </w:numPr>
        <w:spacing w:before="0" w:after="120" w:line="240" w:lineRule="auto"/>
        <w:ind w:left="595" w:right="357" w:hanging="357"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Μέρος 6 (κατασκευή δεξαμενών, επιθεωρήσεις, σήμανση, πρότυπα) </w:t>
      </w:r>
    </w:p>
    <w:p w14:paraId="749F6D7D" w14:textId="77777777" w:rsidR="00E7387E" w:rsidRPr="00EB1023" w:rsidRDefault="00E7387E" w:rsidP="00E7387E">
      <w:pPr>
        <w:pStyle w:val="ListParagraph"/>
        <w:keepNext/>
        <w:numPr>
          <w:ilvl w:val="0"/>
          <w:numId w:val="16"/>
        </w:numPr>
        <w:spacing w:before="0" w:after="120" w:line="240" w:lineRule="auto"/>
        <w:ind w:left="595" w:right="357" w:hanging="357"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Μέρος 9 (προδιαγραφές ανά κατηγορία οχήματος) </w:t>
      </w:r>
    </w:p>
    <w:p w14:paraId="233852BE" w14:textId="77777777" w:rsidR="00E7387E" w:rsidRDefault="00E7387E" w:rsidP="00E7387E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3. Ταξινόμηση οχημάτων ADR (νομοθεσία, διαδικασίες ) </w:t>
      </w:r>
    </w:p>
    <w:p w14:paraId="42CB0017" w14:textId="77777777" w:rsidR="00E7387E" w:rsidRDefault="00E7387E" w:rsidP="00E7387E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4. Φορείς ελέγχου ADR – Πιστοποιητικά δοκιμών (νομοθεσία, διαδικασίες) </w:t>
      </w:r>
    </w:p>
    <w:p w14:paraId="00CF4D9F" w14:textId="77777777" w:rsidR="00E7387E" w:rsidRDefault="00E7387E" w:rsidP="00E7387E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5. Έλεγχος οχήματος ADR στο ΚΤΕΟ (νομοθεσία, διαδικασίες, δικαιολογητικά, σημεία ελέγχου, πληροφοριακό σύστημα πιστοποιητικών έγκρισης οχημάτων ADR) </w:t>
      </w:r>
    </w:p>
    <w:p w14:paraId="2BE18961" w14:textId="77777777" w:rsidR="00E7387E" w:rsidRDefault="00E7387E" w:rsidP="00E7387E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EB1023">
        <w:rPr>
          <w:rFonts w:ascii="Calibri" w:eastAsia="Times New Roman" w:hAnsi="Calibri" w:cs="Times New Roman"/>
          <w:i/>
          <w:iCs/>
        </w:rPr>
        <w:t xml:space="preserve">6. Πιστοποιητικό έγκρισης οχήματος ADR (οδηγίες συμπλήρωσης ) </w:t>
      </w:r>
    </w:p>
    <w:p w14:paraId="1DBFEED2" w14:textId="59A0BC3C" w:rsidR="00E7387E" w:rsidRDefault="00E7387E" w:rsidP="00E7387E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 xml:space="preserve">7. </w:t>
      </w:r>
      <w:r w:rsidRPr="00241D74">
        <w:rPr>
          <w:rFonts w:ascii="Calibri" w:eastAsia="Times New Roman" w:hAnsi="Calibri" w:cs="Times New Roman"/>
          <w:i/>
          <w:iCs/>
        </w:rPr>
        <w:t>Πρακτική άσκηση σε βυτιοφόρο όχημα FL και ΕΧ/II ή ΕΧ/ΙΙΙ</w:t>
      </w:r>
    </w:p>
    <w:p w14:paraId="0660260F" w14:textId="2BE54C83" w:rsidR="00E7387E" w:rsidRDefault="00E7387E" w:rsidP="00E7387E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>8</w:t>
      </w:r>
      <w:r w:rsidRPr="00B9493D">
        <w:rPr>
          <w:rFonts w:ascii="Calibri" w:eastAsia="Times New Roman" w:hAnsi="Calibri" w:cs="Times New Roman"/>
          <w:i/>
          <w:iCs/>
        </w:rPr>
        <w:t>. Σύνοψη- Επίλυση αποριών – Ανταλλαγή απόψεων</w:t>
      </w:r>
    </w:p>
    <w:p w14:paraId="10E3A02B" w14:textId="77777777" w:rsidR="00702F17" w:rsidRDefault="00702F17" w:rsidP="00A15C5C">
      <w:pPr>
        <w:rPr>
          <w:rFonts w:cstheme="minorHAnsi"/>
          <w:i/>
          <w:lang w:eastAsia="el-GR"/>
        </w:rPr>
      </w:pPr>
    </w:p>
    <w:p w14:paraId="742F86D5" w14:textId="34F6A7DA" w:rsidR="00702F17" w:rsidRPr="00702F17" w:rsidRDefault="00702F17" w:rsidP="00702F17">
      <w:pPr>
        <w:pStyle w:val="ListParagraph"/>
        <w:keepNext/>
        <w:spacing w:after="120"/>
        <w:ind w:left="-66" w:right="357"/>
        <w:rPr>
          <w:rFonts w:cstheme="minorHAnsi"/>
          <w:b/>
          <w:bCs/>
          <w:i/>
          <w:lang w:eastAsia="el-GR"/>
        </w:rPr>
      </w:pPr>
      <w:r w:rsidRPr="00702F17">
        <w:rPr>
          <w:rFonts w:cstheme="minorHAnsi"/>
          <w:b/>
          <w:bCs/>
          <w:i/>
          <w:lang w:eastAsia="el-GR"/>
        </w:rPr>
        <w:t xml:space="preserve">ΘΕΜΑΤΙΚΗ ΕΝΟΤΗΤΑ 2 - </w:t>
      </w:r>
      <w:r w:rsidR="00E7387E">
        <w:rPr>
          <w:rFonts w:cstheme="minorHAnsi"/>
          <w:b/>
          <w:bCs/>
          <w:i/>
          <w:lang w:eastAsia="el-GR"/>
        </w:rPr>
        <w:t>Αρχική</w:t>
      </w:r>
      <w:r w:rsidRPr="00702F17">
        <w:rPr>
          <w:rFonts w:cstheme="minorHAnsi"/>
          <w:b/>
          <w:bCs/>
          <w:i/>
          <w:lang w:eastAsia="el-GR"/>
        </w:rPr>
        <w:t xml:space="preserve"> κατάρτιση ελεγκτών δημοσίων και ιδιωτικών ΚΤΕΟ οχημάτων μεταφοράς </w:t>
      </w:r>
      <w:r w:rsidR="00EA5F03" w:rsidRPr="00EA5F03">
        <w:rPr>
          <w:rFonts w:cstheme="minorHAnsi"/>
          <w:b/>
          <w:bCs/>
          <w:i/>
          <w:lang w:eastAsia="el-GR"/>
        </w:rPr>
        <w:t xml:space="preserve">ευπαθών τροφίμων </w:t>
      </w:r>
      <w:r w:rsidR="00EA5F03" w:rsidRPr="00EA5F03">
        <w:rPr>
          <w:rFonts w:cstheme="minorHAnsi"/>
          <w:b/>
          <w:bCs/>
          <w:i/>
          <w:lang w:val="en-US" w:eastAsia="el-GR"/>
        </w:rPr>
        <w:t>ATP</w:t>
      </w:r>
      <w:r w:rsidRPr="00702F17">
        <w:rPr>
          <w:rFonts w:cstheme="minorHAnsi"/>
          <w:b/>
          <w:bCs/>
          <w:i/>
          <w:lang w:eastAsia="el-GR"/>
        </w:rPr>
        <w:t>.</w:t>
      </w:r>
      <w:r w:rsidR="00EA5F03">
        <w:rPr>
          <w:rFonts w:cstheme="minorHAnsi"/>
          <w:b/>
          <w:bCs/>
          <w:i/>
          <w:lang w:eastAsia="el-GR"/>
        </w:rPr>
        <w:t xml:space="preserve"> Σύνολο </w:t>
      </w:r>
      <w:r w:rsidR="00E7387E">
        <w:rPr>
          <w:rFonts w:cstheme="minorHAnsi"/>
          <w:b/>
          <w:bCs/>
          <w:i/>
          <w:lang w:eastAsia="el-GR"/>
        </w:rPr>
        <w:t xml:space="preserve">8 διδακτικές ώρες θεωρητικής εκπαίδευσης, 2 διδακτικές ώρες πρακτικής εκπαίδευσης </w:t>
      </w:r>
      <w:r w:rsidR="00EA5F03">
        <w:rPr>
          <w:rFonts w:cstheme="minorHAnsi"/>
          <w:b/>
          <w:bCs/>
          <w:i/>
          <w:lang w:eastAsia="el-GR"/>
        </w:rPr>
        <w:t>και 0,</w:t>
      </w:r>
      <w:r w:rsidR="00E7387E">
        <w:rPr>
          <w:rFonts w:cstheme="minorHAnsi"/>
          <w:b/>
          <w:bCs/>
          <w:i/>
          <w:lang w:eastAsia="el-GR"/>
        </w:rPr>
        <w:t>67</w:t>
      </w:r>
      <w:r w:rsidR="002A0391">
        <w:rPr>
          <w:rFonts w:cstheme="minorHAnsi"/>
          <w:b/>
          <w:bCs/>
          <w:i/>
          <w:lang w:eastAsia="el-GR"/>
        </w:rPr>
        <w:t xml:space="preserve"> διδακτικ</w:t>
      </w:r>
      <w:r w:rsidR="00E7387E">
        <w:rPr>
          <w:rFonts w:cstheme="minorHAnsi"/>
          <w:b/>
          <w:bCs/>
          <w:i/>
          <w:lang w:eastAsia="el-GR"/>
        </w:rPr>
        <w:t>ή</w:t>
      </w:r>
      <w:r w:rsidR="00EA5F03">
        <w:rPr>
          <w:rFonts w:cstheme="minorHAnsi"/>
          <w:b/>
          <w:bCs/>
          <w:i/>
          <w:lang w:eastAsia="el-GR"/>
        </w:rPr>
        <w:t xml:space="preserve"> ώρ</w:t>
      </w:r>
      <w:r w:rsidR="00E7387E">
        <w:rPr>
          <w:rFonts w:cstheme="minorHAnsi"/>
          <w:b/>
          <w:bCs/>
          <w:i/>
          <w:lang w:eastAsia="el-GR"/>
        </w:rPr>
        <w:t>α</w:t>
      </w:r>
      <w:r w:rsidR="00EA5F03">
        <w:rPr>
          <w:rFonts w:cstheme="minorHAnsi"/>
          <w:b/>
          <w:bCs/>
          <w:i/>
          <w:lang w:eastAsia="el-GR"/>
        </w:rPr>
        <w:t xml:space="preserve"> εξέτασης.</w:t>
      </w:r>
    </w:p>
    <w:p w14:paraId="5E549BFA" w14:textId="7781DC3E" w:rsidR="00702F17" w:rsidRPr="002A0391" w:rsidRDefault="00702F17" w:rsidP="00702F17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</w:rPr>
      </w:pPr>
      <w:r w:rsidRPr="002A0391">
        <w:rPr>
          <w:rFonts w:ascii="Calibri" w:eastAsia="Times New Roman" w:hAnsi="Calibri" w:cs="Times New Roman"/>
          <w:i/>
        </w:rPr>
        <w:t xml:space="preserve">Περιγραφή (σύμφωνα με το Παράρτημα </w:t>
      </w:r>
      <w:r w:rsidRPr="002A0391">
        <w:rPr>
          <w:rFonts w:ascii="Calibri" w:eastAsia="Times New Roman" w:hAnsi="Calibri" w:cs="Times New Roman"/>
          <w:i/>
          <w:lang w:val="en-US"/>
        </w:rPr>
        <w:t>V</w:t>
      </w:r>
      <w:r w:rsidR="00EA5F03" w:rsidRPr="002A0391">
        <w:rPr>
          <w:rFonts w:ascii="Calibri" w:eastAsia="Times New Roman" w:hAnsi="Calibri" w:cs="Times New Roman"/>
          <w:i/>
        </w:rPr>
        <w:t>β</w:t>
      </w:r>
      <w:r w:rsidRPr="002A0391">
        <w:rPr>
          <w:rFonts w:ascii="Calibri" w:eastAsia="Times New Roman" w:hAnsi="Calibri" w:cs="Times New Roman"/>
          <w:i/>
        </w:rPr>
        <w:t xml:space="preserve"> του ΦΕΚ Β’ 226/20.01.2023)</w:t>
      </w:r>
    </w:p>
    <w:p w14:paraId="0BDA340E" w14:textId="77777777" w:rsidR="00EA5F03" w:rsidRPr="00784027" w:rsidRDefault="00EA5F03" w:rsidP="00EA5F03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784027">
        <w:rPr>
          <w:rFonts w:ascii="Calibri" w:eastAsia="Times New Roman" w:hAnsi="Calibri" w:cs="Times New Roman"/>
          <w:i/>
          <w:iCs/>
        </w:rPr>
        <w:t xml:space="preserve">1. Συμφωνία AΤΡ (αλλαγές που αφορούν σε εξοπλισμό, πιστοποιητικά, σημάνσεις) </w:t>
      </w:r>
    </w:p>
    <w:p w14:paraId="4D0BA40C" w14:textId="77777777" w:rsidR="00EA5F03" w:rsidRPr="00784027" w:rsidRDefault="00EA5F03" w:rsidP="00EA5F03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784027">
        <w:rPr>
          <w:rFonts w:ascii="Calibri" w:eastAsia="Times New Roman" w:hAnsi="Calibri" w:cs="Times New Roman"/>
          <w:i/>
          <w:iCs/>
        </w:rPr>
        <w:t xml:space="preserve">2. Φορείς ελέγχου ATP – Πιστοποιητικό συμμόρφωσης ΑΤΡ (αλλαγές σε νομοθεσία, </w:t>
      </w:r>
    </w:p>
    <w:p w14:paraId="52A14B95" w14:textId="77777777" w:rsidR="00EA5F03" w:rsidRPr="00784027" w:rsidRDefault="00EA5F03" w:rsidP="00EA5F03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784027">
        <w:rPr>
          <w:rFonts w:ascii="Calibri" w:eastAsia="Times New Roman" w:hAnsi="Calibri" w:cs="Times New Roman"/>
          <w:i/>
          <w:iCs/>
        </w:rPr>
        <w:t xml:space="preserve">διαδικασίες) </w:t>
      </w:r>
    </w:p>
    <w:p w14:paraId="10DD6A33" w14:textId="77777777" w:rsidR="00EA5F03" w:rsidRPr="00784027" w:rsidRDefault="00EA5F03" w:rsidP="00EA5F03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784027">
        <w:rPr>
          <w:rFonts w:ascii="Calibri" w:eastAsia="Times New Roman" w:hAnsi="Calibri" w:cs="Times New Roman"/>
          <w:i/>
          <w:iCs/>
        </w:rPr>
        <w:t xml:space="preserve">3. Έλεγχος οχήματος ΑΤΡ στο ΚΤΕΟ (αλλαγές σε νομοθεσία, διαδικασίες, δικαιολογητικά, </w:t>
      </w:r>
    </w:p>
    <w:p w14:paraId="193FDC8E" w14:textId="77777777" w:rsidR="00EA5F03" w:rsidRDefault="00EA5F03" w:rsidP="00EA5F03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 w:rsidRPr="00784027">
        <w:rPr>
          <w:rFonts w:ascii="Calibri" w:eastAsia="Times New Roman" w:hAnsi="Calibri" w:cs="Times New Roman"/>
          <w:i/>
          <w:iCs/>
        </w:rPr>
        <w:t xml:space="preserve">σημεία ελέγχου) </w:t>
      </w:r>
    </w:p>
    <w:p w14:paraId="17E1DA5E" w14:textId="6D062419" w:rsidR="00E7387E" w:rsidRPr="00784027" w:rsidRDefault="00E7387E" w:rsidP="00EA5F03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 xml:space="preserve">4. </w:t>
      </w:r>
      <w:r w:rsidRPr="00241D74">
        <w:rPr>
          <w:rFonts w:ascii="Calibri" w:eastAsia="Times New Roman" w:hAnsi="Calibri" w:cs="Times New Roman"/>
          <w:i/>
          <w:iCs/>
        </w:rPr>
        <w:t>Πρακτική άσκηση σε φορτηγό ψυγείο ATP</w:t>
      </w:r>
    </w:p>
    <w:p w14:paraId="6F96792C" w14:textId="5B3A624B" w:rsidR="00777BE6" w:rsidRPr="00777BE6" w:rsidRDefault="00E7387E" w:rsidP="00777BE6">
      <w:pPr>
        <w:keepNext/>
        <w:spacing w:after="120"/>
        <w:ind w:right="357"/>
        <w:contextualSpacing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>5</w:t>
      </w:r>
      <w:r w:rsidR="00EA5F03" w:rsidRPr="00784027">
        <w:rPr>
          <w:rFonts w:ascii="Calibri" w:eastAsia="Times New Roman" w:hAnsi="Calibri" w:cs="Times New Roman"/>
          <w:i/>
          <w:iCs/>
        </w:rPr>
        <w:t>. Σύνοψη- Επίλυση αποριών – Ανταλλαγή απόψεων</w:t>
      </w:r>
      <w:r w:rsidR="006653AC">
        <w:rPr>
          <w:rFonts w:ascii="Calibri" w:eastAsia="Times New Roman" w:hAnsi="Calibri" w:cs="Times New Roman"/>
          <w:i/>
          <w:iCs/>
        </w:rPr>
        <w:t>.</w:t>
      </w:r>
    </w:p>
    <w:p w14:paraId="2E904A5D" w14:textId="0F7F2646" w:rsidR="00C835AF" w:rsidRPr="009D7213" w:rsidRDefault="00C835AF" w:rsidP="00A36FC6">
      <w:pPr>
        <w:pStyle w:val="ListParagraph"/>
        <w:ind w:left="-66"/>
        <w:rPr>
          <w:rFonts w:cstheme="minorHAnsi"/>
          <w:b/>
          <w:bCs/>
          <w:color w:val="05777D"/>
        </w:rPr>
      </w:pPr>
    </w:p>
    <w:sectPr w:rsidR="00C835AF" w:rsidRPr="009D7213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B7E5" w14:textId="77777777" w:rsidR="00F807BB" w:rsidRDefault="00F807BB">
      <w:pPr>
        <w:spacing w:before="0" w:after="0" w:line="240" w:lineRule="auto"/>
      </w:pPr>
      <w:r>
        <w:separator/>
      </w:r>
    </w:p>
  </w:endnote>
  <w:endnote w:type="continuationSeparator" w:id="0">
    <w:p w14:paraId="75C24343" w14:textId="77777777" w:rsidR="00F807BB" w:rsidRDefault="00F807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2B928FF9" w:rsidR="003B7800" w:rsidRPr="00BC50DF" w:rsidRDefault="007A1CF8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>
      <w:rPr>
        <w:rFonts w:ascii="Calibri" w:hAnsi="Calibri"/>
        <w:i/>
        <w:color w:val="05777D"/>
        <w:sz w:val="18"/>
        <w:szCs w:val="18"/>
      </w:rPr>
      <w:t>ΝΕΟ ΕΚΠΑΙΔΕΥΤΙΚΟ ΠΡΟΓΡΑΜΜΑ</w:t>
    </w:r>
    <w:r w:rsidR="003B7800" w:rsidRPr="00BC50DF">
      <w:rPr>
        <w:rFonts w:ascii="Calibri" w:hAnsi="Calibri"/>
        <w:i/>
        <w:color w:val="05777D"/>
        <w:sz w:val="18"/>
        <w:szCs w:val="18"/>
      </w:rPr>
      <w:t xml:space="preserve"> – ΚΕΔΙΒΙΜ</w:t>
    </w:r>
    <w:r w:rsidR="003B7800">
      <w:rPr>
        <w:rFonts w:ascii="Calibri" w:hAnsi="Calibri"/>
        <w:i/>
        <w:color w:val="05777D"/>
        <w:sz w:val="18"/>
        <w:szCs w:val="18"/>
      </w:rPr>
      <w:t xml:space="preserve"> ΑΠΘ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881B" w14:textId="77777777" w:rsidR="00F807BB" w:rsidRDefault="00F807BB">
      <w:pPr>
        <w:spacing w:before="0" w:after="0" w:line="240" w:lineRule="auto"/>
      </w:pPr>
      <w:r>
        <w:separator/>
      </w:r>
    </w:p>
  </w:footnote>
  <w:footnote w:type="continuationSeparator" w:id="0">
    <w:p w14:paraId="518F6474" w14:textId="77777777" w:rsidR="00F807BB" w:rsidRDefault="00F807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564C2D8A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74F377F"/>
    <w:multiLevelType w:val="hybridMultilevel"/>
    <w:tmpl w:val="9D5685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7A67051"/>
    <w:multiLevelType w:val="hybridMultilevel"/>
    <w:tmpl w:val="42BEC0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41F4"/>
    <w:multiLevelType w:val="hybridMultilevel"/>
    <w:tmpl w:val="E984F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5483A93"/>
    <w:multiLevelType w:val="multilevel"/>
    <w:tmpl w:val="916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EE504AC"/>
    <w:multiLevelType w:val="hybridMultilevel"/>
    <w:tmpl w:val="E2824D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D528E"/>
    <w:multiLevelType w:val="hybridMultilevel"/>
    <w:tmpl w:val="50B23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0048"/>
    <w:rsid w:val="00032347"/>
    <w:rsid w:val="00081285"/>
    <w:rsid w:val="0008659A"/>
    <w:rsid w:val="00087BB1"/>
    <w:rsid w:val="000B6B2D"/>
    <w:rsid w:val="000C2264"/>
    <w:rsid w:val="00150163"/>
    <w:rsid w:val="001B7449"/>
    <w:rsid w:val="001D1E81"/>
    <w:rsid w:val="00226206"/>
    <w:rsid w:val="00227A2A"/>
    <w:rsid w:val="002320C6"/>
    <w:rsid w:val="00272E2F"/>
    <w:rsid w:val="0027432B"/>
    <w:rsid w:val="002755CD"/>
    <w:rsid w:val="00281030"/>
    <w:rsid w:val="00293A38"/>
    <w:rsid w:val="00296919"/>
    <w:rsid w:val="002A0391"/>
    <w:rsid w:val="002C08F5"/>
    <w:rsid w:val="0032286F"/>
    <w:rsid w:val="0034151A"/>
    <w:rsid w:val="00345199"/>
    <w:rsid w:val="0037321F"/>
    <w:rsid w:val="003B7800"/>
    <w:rsid w:val="003C4BAC"/>
    <w:rsid w:val="003D3988"/>
    <w:rsid w:val="003F444A"/>
    <w:rsid w:val="003F64DD"/>
    <w:rsid w:val="00431A42"/>
    <w:rsid w:val="00456676"/>
    <w:rsid w:val="00480BE1"/>
    <w:rsid w:val="00481406"/>
    <w:rsid w:val="0048382E"/>
    <w:rsid w:val="004D28B2"/>
    <w:rsid w:val="004E426A"/>
    <w:rsid w:val="004F0FAE"/>
    <w:rsid w:val="004F55FA"/>
    <w:rsid w:val="005256D6"/>
    <w:rsid w:val="005418F0"/>
    <w:rsid w:val="005502A1"/>
    <w:rsid w:val="005C4ADF"/>
    <w:rsid w:val="005F6C0B"/>
    <w:rsid w:val="005F7D60"/>
    <w:rsid w:val="00617160"/>
    <w:rsid w:val="006278D1"/>
    <w:rsid w:val="00645A84"/>
    <w:rsid w:val="006541F3"/>
    <w:rsid w:val="00660599"/>
    <w:rsid w:val="006653AC"/>
    <w:rsid w:val="006763C7"/>
    <w:rsid w:val="00702F17"/>
    <w:rsid w:val="007534B4"/>
    <w:rsid w:val="00777BE6"/>
    <w:rsid w:val="00797E31"/>
    <w:rsid w:val="007A1CF8"/>
    <w:rsid w:val="007C6711"/>
    <w:rsid w:val="007D0CD5"/>
    <w:rsid w:val="007E2859"/>
    <w:rsid w:val="007F2669"/>
    <w:rsid w:val="00804A01"/>
    <w:rsid w:val="00835F81"/>
    <w:rsid w:val="00876AD4"/>
    <w:rsid w:val="008927A7"/>
    <w:rsid w:val="008A1AE7"/>
    <w:rsid w:val="00907E19"/>
    <w:rsid w:val="00944B28"/>
    <w:rsid w:val="009A199C"/>
    <w:rsid w:val="009C49FA"/>
    <w:rsid w:val="009D7213"/>
    <w:rsid w:val="009E0BD1"/>
    <w:rsid w:val="00A15C5C"/>
    <w:rsid w:val="00A36FC6"/>
    <w:rsid w:val="00A92A12"/>
    <w:rsid w:val="00AD1EE6"/>
    <w:rsid w:val="00AE5F71"/>
    <w:rsid w:val="00AF0F72"/>
    <w:rsid w:val="00B12D3F"/>
    <w:rsid w:val="00B22EFF"/>
    <w:rsid w:val="00B72637"/>
    <w:rsid w:val="00B817DA"/>
    <w:rsid w:val="00BA45C7"/>
    <w:rsid w:val="00BE3EB0"/>
    <w:rsid w:val="00C047E9"/>
    <w:rsid w:val="00C208BD"/>
    <w:rsid w:val="00C41A40"/>
    <w:rsid w:val="00C4728C"/>
    <w:rsid w:val="00C6445C"/>
    <w:rsid w:val="00C835AF"/>
    <w:rsid w:val="00D02616"/>
    <w:rsid w:val="00D04493"/>
    <w:rsid w:val="00D30A40"/>
    <w:rsid w:val="00D3101E"/>
    <w:rsid w:val="00D4472D"/>
    <w:rsid w:val="00D60064"/>
    <w:rsid w:val="00D6740C"/>
    <w:rsid w:val="00DA4544"/>
    <w:rsid w:val="00DC6D0E"/>
    <w:rsid w:val="00E01EA6"/>
    <w:rsid w:val="00E055DB"/>
    <w:rsid w:val="00E472E5"/>
    <w:rsid w:val="00E7387E"/>
    <w:rsid w:val="00EA5F03"/>
    <w:rsid w:val="00F807BB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1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5</cp:revision>
  <dcterms:created xsi:type="dcterms:W3CDTF">2023-06-06T11:17:00Z</dcterms:created>
  <dcterms:modified xsi:type="dcterms:W3CDTF">2023-06-06T12:27:00Z</dcterms:modified>
</cp:coreProperties>
</file>