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7A5" w14:textId="77777777" w:rsidR="00802A68" w:rsidRPr="00876AD4" w:rsidRDefault="00802A68" w:rsidP="00802A68">
      <w:pPr>
        <w:pStyle w:val="a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 xml:space="preserve">Εκπαιδευτικό υλικό </w:t>
      </w:r>
      <w:r>
        <w:rPr>
          <w:rFonts w:eastAsia="Times New Roman" w:cstheme="minorHAnsi"/>
          <w:b/>
          <w:color w:val="05777D"/>
          <w:sz w:val="24"/>
          <w:lang w:eastAsia="el-GR"/>
        </w:rPr>
        <w:t xml:space="preserve">/ </w:t>
      </w:r>
      <w:r w:rsidRPr="00876AD4">
        <w:rPr>
          <w:rFonts w:eastAsia="Times New Roman" w:cstheme="minorHAnsi"/>
          <w:b/>
          <w:color w:val="05777D"/>
          <w:sz w:val="24"/>
          <w:lang w:eastAsia="el-GR"/>
        </w:rPr>
        <w:t>Άλλες παροχές</w:t>
      </w:r>
    </w:p>
    <w:tbl>
      <w:tblPr>
        <w:tblStyle w:val="a3"/>
        <w:tblW w:w="5000" w:type="pct"/>
        <w:tblLook w:val="04A0" w:firstRow="1" w:lastRow="0" w:firstColumn="1" w:lastColumn="0" w:noHBand="0" w:noVBand="1"/>
      </w:tblPr>
      <w:tblGrid>
        <w:gridCol w:w="4860"/>
        <w:gridCol w:w="2244"/>
        <w:gridCol w:w="2246"/>
      </w:tblGrid>
      <w:tr w:rsidR="00802A68" w:rsidRPr="00C71F4F" w14:paraId="1215E5E8" w14:textId="77777777" w:rsidTr="008835BF">
        <w:tc>
          <w:tcPr>
            <w:tcW w:w="2599" w:type="pct"/>
            <w:vAlign w:val="center"/>
          </w:tcPr>
          <w:p w14:paraId="7428D088" w14:textId="77777777" w:rsidR="00802A68" w:rsidRPr="00C71F4F" w:rsidRDefault="00802A68" w:rsidP="008835BF">
            <w:pPr>
              <w:spacing w:before="0" w:after="0" w:line="240" w:lineRule="auto"/>
              <w:jc w:val="center"/>
              <w:rPr>
                <w:rFonts w:ascii="Calibri" w:hAnsi="Calibri" w:cs="Times New Roman"/>
                <w:bCs/>
              </w:rPr>
            </w:pPr>
            <w:r w:rsidRPr="00C71F4F">
              <w:rPr>
                <w:rFonts w:ascii="Calibri" w:hAnsi="Calibri" w:cs="Times New Roman"/>
                <w:bCs/>
              </w:rPr>
              <w:t>Τίτλος/βιβλιογραφική αναφορά/σύνδεσμος</w:t>
            </w:r>
          </w:p>
        </w:tc>
        <w:tc>
          <w:tcPr>
            <w:tcW w:w="1200" w:type="pct"/>
            <w:vAlign w:val="center"/>
          </w:tcPr>
          <w:p w14:paraId="5CD4DA87" w14:textId="77777777" w:rsidR="00802A68" w:rsidRPr="00C71F4F" w:rsidRDefault="00802A68" w:rsidP="008835BF">
            <w:pPr>
              <w:spacing w:before="0" w:after="0" w:line="240" w:lineRule="auto"/>
              <w:jc w:val="center"/>
              <w:rPr>
                <w:rFonts w:ascii="Calibri" w:hAnsi="Calibri" w:cs="Times New Roman"/>
                <w:bCs/>
              </w:rPr>
            </w:pPr>
            <w:r w:rsidRPr="00C71F4F">
              <w:rPr>
                <w:rFonts w:ascii="Calibri" w:hAnsi="Calibri" w:cs="Times New Roman"/>
                <w:bCs/>
              </w:rPr>
              <w:t>Μορφή (Έντυπο/Ψηφιακό)</w:t>
            </w:r>
          </w:p>
        </w:tc>
        <w:tc>
          <w:tcPr>
            <w:tcW w:w="1201" w:type="pct"/>
            <w:vAlign w:val="center"/>
          </w:tcPr>
          <w:p w14:paraId="6CD06740" w14:textId="77777777" w:rsidR="00802A68" w:rsidRPr="00C71F4F" w:rsidRDefault="00802A68" w:rsidP="008835BF">
            <w:pPr>
              <w:spacing w:before="0" w:after="0" w:line="240" w:lineRule="auto"/>
              <w:jc w:val="center"/>
              <w:rPr>
                <w:rFonts w:ascii="Calibri" w:hAnsi="Calibri" w:cs="Times New Roman"/>
                <w:bCs/>
              </w:rPr>
            </w:pPr>
            <w:r w:rsidRPr="00C71F4F">
              <w:rPr>
                <w:rFonts w:ascii="Calibri" w:hAnsi="Calibri" w:cs="Times New Roman"/>
                <w:bCs/>
              </w:rPr>
              <w:t>Θεματικές/Διδακτικές Ενότητες που καλύπτει</w:t>
            </w:r>
          </w:p>
        </w:tc>
      </w:tr>
      <w:tr w:rsidR="00802A68" w:rsidRPr="00C71F4F" w14:paraId="3B970044" w14:textId="77777777" w:rsidTr="008835BF">
        <w:tc>
          <w:tcPr>
            <w:tcW w:w="2599" w:type="pct"/>
          </w:tcPr>
          <w:p w14:paraId="6D21BF3C"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1.</w:t>
            </w:r>
            <w:r w:rsidRPr="00C71F4F">
              <w:rPr>
                <w:rFonts w:ascii="Calibri" w:hAnsi="Calibri" w:cs="Times New Roman"/>
                <w:b/>
              </w:rPr>
              <w:tab/>
              <w:t xml:space="preserve">Διαδικτυακές πηγές: </w:t>
            </w:r>
          </w:p>
          <w:p w14:paraId="42B2455A"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 xml:space="preserve">https://www.fda.gov/ </w:t>
            </w:r>
          </w:p>
          <w:p w14:paraId="4C1B5E8B"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https://www.ema.europa.eu/en</w:t>
            </w:r>
          </w:p>
          <w:p w14:paraId="5106D3F6"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https://www.who.int/</w:t>
            </w:r>
          </w:p>
        </w:tc>
        <w:tc>
          <w:tcPr>
            <w:tcW w:w="1200" w:type="pct"/>
            <w:vAlign w:val="center"/>
          </w:tcPr>
          <w:p w14:paraId="0DFE5990"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rPr>
              <w:t>Ψηφιακό</w:t>
            </w:r>
          </w:p>
        </w:tc>
        <w:tc>
          <w:tcPr>
            <w:tcW w:w="1201" w:type="pct"/>
            <w:vAlign w:val="center"/>
          </w:tcPr>
          <w:p w14:paraId="71BEB0F1" w14:textId="77777777" w:rsidR="00802A68" w:rsidRPr="00C71F4F" w:rsidRDefault="00802A68" w:rsidP="008835BF">
            <w:pPr>
              <w:spacing w:before="0" w:after="0" w:line="240" w:lineRule="auto"/>
              <w:jc w:val="center"/>
              <w:rPr>
                <w:rFonts w:ascii="Calibri" w:hAnsi="Calibri" w:cs="Times New Roman"/>
                <w:b/>
                <w:lang w:val="en-US"/>
              </w:rPr>
            </w:pPr>
            <w:r w:rsidRPr="00C71F4F">
              <w:rPr>
                <w:rFonts w:ascii="Calibri" w:hAnsi="Calibri" w:cs="Times New Roman"/>
                <w:b/>
                <w:lang w:val="en-US"/>
              </w:rPr>
              <w:t>1-6</w:t>
            </w:r>
          </w:p>
        </w:tc>
      </w:tr>
      <w:tr w:rsidR="00802A68" w:rsidRPr="00C71F4F" w14:paraId="6F3538E4" w14:textId="77777777" w:rsidTr="008835BF">
        <w:tc>
          <w:tcPr>
            <w:tcW w:w="2599" w:type="pct"/>
          </w:tcPr>
          <w:p w14:paraId="2AF20E24"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2.</w:t>
            </w:r>
            <w:r w:rsidRPr="00C71F4F">
              <w:rPr>
                <w:rFonts w:ascii="Calibri" w:hAnsi="Calibri" w:cs="Times New Roman"/>
                <w:b/>
              </w:rPr>
              <w:tab/>
              <w:t>Ηλεκτρονικές συλλογές φαρμάκων</w:t>
            </w:r>
          </w:p>
          <w:p w14:paraId="231541F6"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https://www.medicines.org.uk/emc#gref</w:t>
            </w:r>
          </w:p>
        </w:tc>
        <w:tc>
          <w:tcPr>
            <w:tcW w:w="1200" w:type="pct"/>
            <w:vAlign w:val="center"/>
          </w:tcPr>
          <w:p w14:paraId="01904DC4"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rPr>
              <w:t>Ψηφιακό</w:t>
            </w:r>
          </w:p>
        </w:tc>
        <w:tc>
          <w:tcPr>
            <w:tcW w:w="1201" w:type="pct"/>
            <w:vAlign w:val="center"/>
          </w:tcPr>
          <w:p w14:paraId="1804120D"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lang w:val="en-US"/>
              </w:rPr>
              <w:t>1-6</w:t>
            </w:r>
          </w:p>
        </w:tc>
      </w:tr>
      <w:tr w:rsidR="00802A68" w:rsidRPr="00C71F4F" w14:paraId="1FB5C8F8" w14:textId="77777777" w:rsidTr="008835BF">
        <w:tc>
          <w:tcPr>
            <w:tcW w:w="2599" w:type="pct"/>
          </w:tcPr>
          <w:p w14:paraId="67D462B2"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3.</w:t>
            </w:r>
            <w:r w:rsidRPr="00C71F4F">
              <w:rPr>
                <w:rFonts w:ascii="Calibri" w:hAnsi="Calibri" w:cs="Times New Roman"/>
                <w:b/>
              </w:rPr>
              <w:tab/>
              <w:t>Ηλεκτρονικές πηγές κάλυψης αλληλεπιδράσεων φαρμάκων</w:t>
            </w:r>
          </w:p>
          <w:p w14:paraId="59DB436B"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https://reference.medscape.com/drug-interactionchecker</w:t>
            </w:r>
          </w:p>
          <w:p w14:paraId="4BB64A45"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https://www.druginteractions.org/</w:t>
            </w:r>
          </w:p>
        </w:tc>
        <w:tc>
          <w:tcPr>
            <w:tcW w:w="1200" w:type="pct"/>
            <w:vAlign w:val="center"/>
          </w:tcPr>
          <w:p w14:paraId="2B4C1036"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rPr>
              <w:t>Ψηφιακό</w:t>
            </w:r>
          </w:p>
        </w:tc>
        <w:tc>
          <w:tcPr>
            <w:tcW w:w="1201" w:type="pct"/>
            <w:vAlign w:val="center"/>
          </w:tcPr>
          <w:p w14:paraId="2016A49C"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lang w:val="en-US"/>
              </w:rPr>
              <w:t>1-6</w:t>
            </w:r>
          </w:p>
        </w:tc>
      </w:tr>
      <w:tr w:rsidR="00802A68" w:rsidRPr="00C71F4F" w14:paraId="166E179D" w14:textId="77777777" w:rsidTr="008835BF">
        <w:tc>
          <w:tcPr>
            <w:tcW w:w="2599" w:type="pct"/>
          </w:tcPr>
          <w:p w14:paraId="1BEB92D6"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4.</w:t>
            </w:r>
            <w:r w:rsidRPr="00C71F4F">
              <w:rPr>
                <w:rFonts w:ascii="Calibri" w:hAnsi="Calibri" w:cs="Times New Roman"/>
                <w:b/>
              </w:rPr>
              <w:tab/>
              <w:t>Σχετικές βάσεις δεδομένων</w:t>
            </w:r>
          </w:p>
          <w:p w14:paraId="376CCCD2"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https://go.drugbank.com/</w:t>
            </w:r>
          </w:p>
          <w:p w14:paraId="63FA6D27"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https://www.pharmgkb.org/</w:t>
            </w:r>
          </w:p>
        </w:tc>
        <w:tc>
          <w:tcPr>
            <w:tcW w:w="1200" w:type="pct"/>
            <w:vAlign w:val="center"/>
          </w:tcPr>
          <w:p w14:paraId="193A5B58"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rPr>
              <w:t>Ψηφιακό</w:t>
            </w:r>
          </w:p>
        </w:tc>
        <w:tc>
          <w:tcPr>
            <w:tcW w:w="1201" w:type="pct"/>
            <w:vAlign w:val="center"/>
          </w:tcPr>
          <w:p w14:paraId="6ECF0134"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lang w:val="en-US"/>
              </w:rPr>
              <w:t>1-6</w:t>
            </w:r>
          </w:p>
        </w:tc>
      </w:tr>
      <w:tr w:rsidR="00802A68" w:rsidRPr="00C71F4F" w14:paraId="0CF50473" w14:textId="77777777" w:rsidTr="008835BF">
        <w:tc>
          <w:tcPr>
            <w:tcW w:w="2599" w:type="pct"/>
          </w:tcPr>
          <w:p w14:paraId="188C8EEC"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5.</w:t>
            </w:r>
            <w:r w:rsidRPr="00C71F4F">
              <w:rPr>
                <w:rFonts w:ascii="Calibri" w:hAnsi="Calibri" w:cs="Times New Roman"/>
                <w:b/>
              </w:rPr>
              <w:tab/>
              <w:t xml:space="preserve">Προτεινόμενες διαδικτυακές </w:t>
            </w:r>
            <w:proofErr w:type="spellStart"/>
            <w:r w:rsidRPr="00C71F4F">
              <w:rPr>
                <w:rFonts w:ascii="Calibri" w:hAnsi="Calibri" w:cs="Times New Roman"/>
                <w:b/>
              </w:rPr>
              <w:t>online</w:t>
            </w:r>
            <w:proofErr w:type="spellEnd"/>
            <w:r w:rsidRPr="00C71F4F">
              <w:rPr>
                <w:rFonts w:ascii="Calibri" w:hAnsi="Calibri" w:cs="Times New Roman"/>
                <w:b/>
              </w:rPr>
              <w:t xml:space="preserve"> πηγές φαρμακευτικών πληροφοριών</w:t>
            </w:r>
          </w:p>
          <w:p w14:paraId="63539FA4"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https://guides.ucsf.edu/c.php?g=100967&amp;p=885070</w:t>
            </w:r>
          </w:p>
          <w:p w14:paraId="1A20415B"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https://www.uspharmacist.com/</w:t>
            </w:r>
          </w:p>
          <w:p w14:paraId="6277ED50" w14:textId="77777777" w:rsidR="00802A68" w:rsidRPr="00C71F4F" w:rsidRDefault="00802A68" w:rsidP="008835BF">
            <w:pPr>
              <w:spacing w:before="0" w:after="0" w:line="240" w:lineRule="auto"/>
              <w:jc w:val="both"/>
              <w:rPr>
                <w:rFonts w:ascii="Calibri" w:hAnsi="Calibri" w:cs="Times New Roman"/>
                <w:b/>
              </w:rPr>
            </w:pPr>
            <w:r w:rsidRPr="00C71F4F">
              <w:rPr>
                <w:rFonts w:ascii="Calibri" w:hAnsi="Calibri" w:cs="Times New Roman"/>
                <w:b/>
              </w:rPr>
              <w:t>https://www.pharmacytimes.com/</w:t>
            </w:r>
          </w:p>
        </w:tc>
        <w:tc>
          <w:tcPr>
            <w:tcW w:w="1200" w:type="pct"/>
            <w:vAlign w:val="center"/>
          </w:tcPr>
          <w:p w14:paraId="2DD80B2D"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rPr>
              <w:t>Ψηφιακό</w:t>
            </w:r>
          </w:p>
        </w:tc>
        <w:tc>
          <w:tcPr>
            <w:tcW w:w="1201" w:type="pct"/>
            <w:vAlign w:val="center"/>
          </w:tcPr>
          <w:p w14:paraId="54319384" w14:textId="77777777" w:rsidR="00802A68" w:rsidRPr="00C71F4F" w:rsidRDefault="00802A68" w:rsidP="008835BF">
            <w:pPr>
              <w:spacing w:before="0" w:after="0" w:line="240" w:lineRule="auto"/>
              <w:jc w:val="center"/>
              <w:rPr>
                <w:rFonts w:ascii="Calibri" w:hAnsi="Calibri" w:cs="Times New Roman"/>
                <w:b/>
              </w:rPr>
            </w:pPr>
            <w:r w:rsidRPr="00C71F4F">
              <w:rPr>
                <w:rFonts w:ascii="Calibri" w:hAnsi="Calibri" w:cs="Times New Roman"/>
                <w:b/>
                <w:lang w:val="en-US"/>
              </w:rPr>
              <w:t>1-6</w:t>
            </w:r>
          </w:p>
        </w:tc>
      </w:tr>
    </w:tbl>
    <w:p w14:paraId="2EB86CEC" w14:textId="77777777" w:rsidR="00802A68" w:rsidRPr="00876AD4" w:rsidRDefault="00802A68" w:rsidP="00802A68">
      <w:pPr>
        <w:pStyle w:val="a4"/>
        <w:shd w:val="clear" w:color="auto" w:fill="FFFFFF" w:themeFill="background1"/>
        <w:ind w:left="-66"/>
        <w:rPr>
          <w:rFonts w:cstheme="minorHAnsi"/>
          <w:lang w:eastAsia="el-GR"/>
        </w:rPr>
      </w:pPr>
    </w:p>
    <w:p w14:paraId="74375599" w14:textId="77777777" w:rsidR="00802A68" w:rsidRDefault="00802A68" w:rsidP="00802A68">
      <w:pPr>
        <w:pStyle w:val="a4"/>
        <w:shd w:val="clear" w:color="auto" w:fill="FFFFFF" w:themeFill="background1"/>
        <w:ind w:left="-66"/>
        <w:rPr>
          <w:rFonts w:cstheme="minorHAnsi"/>
          <w:lang w:eastAsia="el-GR"/>
        </w:rPr>
      </w:pPr>
    </w:p>
    <w:p w14:paraId="09DBD3CF" w14:textId="77777777" w:rsidR="00802A68" w:rsidRPr="00876AD4" w:rsidRDefault="00802A68" w:rsidP="00802A68">
      <w:pPr>
        <w:pStyle w:val="a4"/>
        <w:shd w:val="clear" w:color="auto" w:fill="FFFFFF" w:themeFill="background1"/>
        <w:ind w:left="-66"/>
        <w:rPr>
          <w:rFonts w:cstheme="minorHAnsi"/>
          <w:lang w:eastAsia="el-GR"/>
        </w:rPr>
      </w:pPr>
    </w:p>
    <w:p w14:paraId="51595E2D" w14:textId="77777777" w:rsidR="00802A68" w:rsidRDefault="00802A68" w:rsidP="00802A68">
      <w:pPr>
        <w:pStyle w:val="a4"/>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614"/>
        <w:gridCol w:w="5225"/>
      </w:tblGrid>
      <w:tr w:rsidR="00802A68" w:rsidRPr="000E2FC7" w14:paraId="754BFDFF" w14:textId="77777777" w:rsidTr="008835BF">
        <w:trPr>
          <w:trHeight w:val="87"/>
        </w:trPr>
        <w:tc>
          <w:tcPr>
            <w:tcW w:w="5000" w:type="pct"/>
            <w:gridSpan w:val="3"/>
          </w:tcPr>
          <w:p w14:paraId="6C7EC41B"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t xml:space="preserve">Διδακτική Ενότητα 1: </w:t>
            </w:r>
            <w:r w:rsidRPr="000E2FC7">
              <w:rPr>
                <w:rFonts w:ascii="Calibri" w:eastAsia="Times New Roman" w:hAnsi="Calibri" w:cs="Times New Roman"/>
                <w:i/>
              </w:rPr>
              <w:t>Γυναικολογικές Παθήσεις</w:t>
            </w:r>
          </w:p>
          <w:p w14:paraId="56361EE4"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iCs/>
              </w:rPr>
              <w:t xml:space="preserve">Σύνδρομο </w:t>
            </w:r>
            <w:proofErr w:type="spellStart"/>
            <w:r w:rsidRPr="000E2FC7">
              <w:rPr>
                <w:rFonts w:ascii="Calibri" w:eastAsia="Times New Roman" w:hAnsi="Calibri" w:cs="Times New Roman"/>
                <w:i/>
                <w:iCs/>
              </w:rPr>
              <w:t>πολυκυστικών</w:t>
            </w:r>
            <w:proofErr w:type="spellEnd"/>
            <w:r w:rsidRPr="000E2FC7">
              <w:rPr>
                <w:rFonts w:ascii="Calibri" w:eastAsia="Times New Roman" w:hAnsi="Calibri" w:cs="Times New Roman"/>
                <w:i/>
                <w:iCs/>
              </w:rPr>
              <w:t xml:space="preserve"> ωοθηκών – Εμμηνόπαυση</w:t>
            </w:r>
          </w:p>
        </w:tc>
      </w:tr>
      <w:tr w:rsidR="00802A68" w:rsidRPr="000E2FC7" w14:paraId="4FB59E60" w14:textId="77777777" w:rsidTr="008835BF">
        <w:trPr>
          <w:trHeight w:val="87"/>
        </w:trPr>
        <w:tc>
          <w:tcPr>
            <w:tcW w:w="5000" w:type="pct"/>
            <w:gridSpan w:val="3"/>
          </w:tcPr>
          <w:p w14:paraId="7F5C126C"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0A3BC3EE"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 xml:space="preserve">   Το σύνδρομο των </w:t>
            </w:r>
            <w:proofErr w:type="spellStart"/>
            <w:r w:rsidRPr="000E2FC7">
              <w:rPr>
                <w:rFonts w:ascii="Calibri" w:eastAsia="Times New Roman" w:hAnsi="Calibri" w:cs="Times New Roman"/>
                <w:i/>
                <w:iCs/>
              </w:rPr>
              <w:t>πολυκυστικών</w:t>
            </w:r>
            <w:proofErr w:type="spellEnd"/>
            <w:r w:rsidRPr="000E2FC7">
              <w:rPr>
                <w:rFonts w:ascii="Calibri" w:eastAsia="Times New Roman" w:hAnsi="Calibri" w:cs="Times New Roman"/>
                <w:i/>
                <w:iCs/>
              </w:rPr>
              <w:t xml:space="preserve"> ωοθηκών αφορά το 10% των εφήβων και νεαρών κοριτσιών και χαρακτηρίζεται από αυξημένες συγκεντρώσεις ανδρογόνων και διαταραχή της </w:t>
            </w:r>
            <w:proofErr w:type="spellStart"/>
            <w:r w:rsidRPr="000E2FC7">
              <w:rPr>
                <w:rFonts w:ascii="Calibri" w:eastAsia="Times New Roman" w:hAnsi="Calibri" w:cs="Times New Roman"/>
                <w:i/>
                <w:iCs/>
              </w:rPr>
              <w:t>ωοθυλακιορρηξίας</w:t>
            </w:r>
            <w:proofErr w:type="spellEnd"/>
            <w:r w:rsidRPr="000E2FC7">
              <w:rPr>
                <w:rFonts w:ascii="Calibri" w:eastAsia="Times New Roman" w:hAnsi="Calibri" w:cs="Times New Roman"/>
                <w:i/>
                <w:iCs/>
              </w:rPr>
              <w:t xml:space="preserve">. Η θεραπεία του αφορά, μεταξύ άλλων, θέματα </w:t>
            </w:r>
            <w:proofErr w:type="spellStart"/>
            <w:r w:rsidRPr="000E2FC7">
              <w:rPr>
                <w:rFonts w:ascii="Calibri" w:eastAsia="Times New Roman" w:hAnsi="Calibri" w:cs="Times New Roman"/>
                <w:i/>
                <w:iCs/>
              </w:rPr>
              <w:t>υπογονιμότητας</w:t>
            </w:r>
            <w:proofErr w:type="spellEnd"/>
            <w:r w:rsidRPr="000E2FC7">
              <w:rPr>
                <w:rFonts w:ascii="Calibri" w:eastAsia="Times New Roman" w:hAnsi="Calibri" w:cs="Times New Roman"/>
                <w:i/>
                <w:iCs/>
              </w:rPr>
              <w:t xml:space="preserve"> και καρδιαγγειακού κινδύνου. </w:t>
            </w:r>
          </w:p>
          <w:p w14:paraId="31D83D54"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 xml:space="preserve">    Η εμμηνόπαυση αφορά το 100% των γυναικών, με μέση ηλικία εμφάνισης τα 51 έτη. Από αυτές, το 25%΄θα εμφανίσει σοβαρά αγγειοκινητικά συμπτώματα και σημεία από το ουροποιητικό και γεννητικό σύστημα. Η ορμονική θεραπεία μπορεί να βοηθήσει αποτελεσματικά στην αντιμετώπιση της κλινικής εικόνας.</w:t>
            </w:r>
          </w:p>
        </w:tc>
      </w:tr>
      <w:tr w:rsidR="00802A68" w:rsidRPr="000E2FC7" w14:paraId="61427CB6" w14:textId="77777777" w:rsidTr="008835BF">
        <w:trPr>
          <w:trHeight w:val="512"/>
        </w:trPr>
        <w:tc>
          <w:tcPr>
            <w:tcW w:w="808" w:type="pct"/>
          </w:tcPr>
          <w:p w14:paraId="0589A112"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0BF4DB00"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4B824FF6" w14:textId="77777777" w:rsidR="00802A68" w:rsidRPr="000E2FC7" w:rsidRDefault="00802A68" w:rsidP="008835BF">
            <w:pPr>
              <w:keepNext/>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Διδάσκουσα/Διδάσκων</w:t>
            </w:r>
          </w:p>
        </w:tc>
      </w:tr>
      <w:tr w:rsidR="00802A68" w:rsidRPr="000E2FC7" w14:paraId="2D87C1F7" w14:textId="77777777" w:rsidTr="008835BF">
        <w:trPr>
          <w:trHeight w:val="128"/>
        </w:trPr>
        <w:tc>
          <w:tcPr>
            <w:tcW w:w="808" w:type="pct"/>
            <w:vAlign w:val="center"/>
          </w:tcPr>
          <w:p w14:paraId="4EB744FB"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67DE3C7B"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vAlign w:val="center"/>
          </w:tcPr>
          <w:p w14:paraId="53C318B8"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r w:rsidRPr="000E2FC7">
              <w:rPr>
                <w:rFonts w:ascii="Calibri" w:eastAsia="Times New Roman" w:hAnsi="Calibri" w:cs="Times New Roman"/>
                <w:b/>
                <w:bCs/>
                <w:i/>
              </w:rPr>
              <w:t>Δημήτριος Γουλής</w:t>
            </w:r>
          </w:p>
          <w:p w14:paraId="7E98231B" w14:textId="77777777" w:rsidR="00802A68" w:rsidRPr="000E2FC7" w:rsidRDefault="00802A68" w:rsidP="008835BF">
            <w:pPr>
              <w:keepNext/>
              <w:spacing w:before="0" w:after="0" w:line="240" w:lineRule="auto"/>
              <w:ind w:right="357"/>
              <w:jc w:val="center"/>
              <w:rPr>
                <w:rFonts w:ascii="Calibri" w:eastAsia="Times New Roman" w:hAnsi="Calibri" w:cs="Times New Roman"/>
                <w:szCs w:val="24"/>
              </w:rPr>
            </w:pPr>
            <w:r w:rsidRPr="000E2FC7">
              <w:rPr>
                <w:rFonts w:ascii="Calibri" w:eastAsia="Times New Roman" w:hAnsi="Calibri" w:cs="Times New Roman"/>
                <w:i/>
              </w:rPr>
              <w:t>Καθηγητής Ενδοκρινολογίας Αναπαραγωγής ΑΠΘ</w:t>
            </w:r>
          </w:p>
        </w:tc>
      </w:tr>
      <w:tr w:rsidR="00802A68" w:rsidRPr="000E2FC7" w14:paraId="69C169B5" w14:textId="77777777" w:rsidTr="008835BF">
        <w:trPr>
          <w:trHeight w:val="87"/>
        </w:trPr>
        <w:tc>
          <w:tcPr>
            <w:tcW w:w="5000" w:type="pct"/>
            <w:gridSpan w:val="3"/>
          </w:tcPr>
          <w:p w14:paraId="4C28DDA6"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lastRenderedPageBreak/>
              <w:t xml:space="preserve">Διδακτική Ενότητα 2: </w:t>
            </w:r>
            <w:r w:rsidRPr="000E2FC7">
              <w:rPr>
                <w:rFonts w:ascii="Calibri" w:eastAsia="Times New Roman" w:hAnsi="Calibri" w:cs="Times New Roman"/>
                <w:i/>
              </w:rPr>
              <w:t>Γυναικολογικές Παθήσεις</w:t>
            </w:r>
          </w:p>
          <w:p w14:paraId="56CBF6A1"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rPr>
              <w:t>Εμβολιασμός στην κύηση</w:t>
            </w:r>
          </w:p>
        </w:tc>
      </w:tr>
      <w:tr w:rsidR="00802A68" w:rsidRPr="000E2FC7" w14:paraId="2E5A4449" w14:textId="77777777" w:rsidTr="008835BF">
        <w:trPr>
          <w:trHeight w:val="87"/>
        </w:trPr>
        <w:tc>
          <w:tcPr>
            <w:tcW w:w="5000" w:type="pct"/>
            <w:gridSpan w:val="3"/>
          </w:tcPr>
          <w:p w14:paraId="3C01422F"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1754E177"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Η εισήγηση αφορά στην ανάλυση των νεότερων επιστημονικών δεδομένων με βάση τα οποία καταρτίζονται οι κατευθυντήριες οδηγίες σχετικά με τον εμβολιασμό των γυναικών, κατά τη διάρκεια της κύησης, εναντίον συγκεκριμένων λοιμωδών νοσημάτων. Αναλύεται ποια εμβόλια πρέπει να γίνονται στη διάρκεια της κύησης και γιατί, αλλά και ποια πρέπει να αποφεύγονται.</w:t>
            </w:r>
          </w:p>
        </w:tc>
      </w:tr>
      <w:tr w:rsidR="00802A68" w:rsidRPr="000E2FC7" w14:paraId="55430E75" w14:textId="77777777" w:rsidTr="008835BF">
        <w:trPr>
          <w:trHeight w:val="512"/>
        </w:trPr>
        <w:tc>
          <w:tcPr>
            <w:tcW w:w="808" w:type="pct"/>
          </w:tcPr>
          <w:p w14:paraId="57FA64E2"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3BFD0D11"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75EB0C48"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Διδάσκουσα/Διδάσκων</w:t>
            </w:r>
          </w:p>
        </w:tc>
      </w:tr>
      <w:tr w:rsidR="00802A68" w:rsidRPr="000E2FC7" w14:paraId="53CCA905" w14:textId="77777777" w:rsidTr="008835BF">
        <w:trPr>
          <w:trHeight w:val="128"/>
        </w:trPr>
        <w:tc>
          <w:tcPr>
            <w:tcW w:w="808" w:type="pct"/>
            <w:vAlign w:val="center"/>
          </w:tcPr>
          <w:p w14:paraId="088E725A"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5BC5A3FC"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tcPr>
          <w:p w14:paraId="4830EAB7"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proofErr w:type="spellStart"/>
            <w:r w:rsidRPr="000E2FC7">
              <w:rPr>
                <w:rFonts w:ascii="Calibri" w:eastAsia="Times New Roman" w:hAnsi="Calibri" w:cs="Times New Roman"/>
                <w:b/>
                <w:bCs/>
                <w:i/>
              </w:rPr>
              <w:t>Χατζησταματίου</w:t>
            </w:r>
            <w:proofErr w:type="spellEnd"/>
            <w:r w:rsidRPr="000E2FC7">
              <w:rPr>
                <w:rFonts w:ascii="Calibri" w:eastAsia="Times New Roman" w:hAnsi="Calibri" w:cs="Times New Roman"/>
                <w:b/>
                <w:bCs/>
                <w:i/>
              </w:rPr>
              <w:t xml:space="preserve"> Κίμων</w:t>
            </w:r>
          </w:p>
          <w:p w14:paraId="17A9451A"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 xml:space="preserve">Διδάκτωρ ΑΠΘ, Ακαδημαϊκός Υπότροφος Α’ Μ-Γ Κλινικής ΑΠΘ, </w:t>
            </w:r>
            <w:proofErr w:type="spellStart"/>
            <w:r w:rsidRPr="000E2FC7">
              <w:rPr>
                <w:rFonts w:ascii="Calibri" w:eastAsia="Times New Roman" w:hAnsi="Calibri" w:cs="Times New Roman"/>
                <w:i/>
              </w:rPr>
              <w:t>Νοσ</w:t>
            </w:r>
            <w:proofErr w:type="spellEnd"/>
            <w:r w:rsidRPr="000E2FC7">
              <w:rPr>
                <w:rFonts w:ascii="Calibri" w:eastAsia="Times New Roman" w:hAnsi="Calibri" w:cs="Times New Roman"/>
                <w:i/>
              </w:rPr>
              <w:t>. Παπαγεωργίου</w:t>
            </w:r>
          </w:p>
        </w:tc>
      </w:tr>
      <w:tr w:rsidR="00802A68" w:rsidRPr="000E2FC7" w14:paraId="53DD2ADA" w14:textId="77777777" w:rsidTr="008835BF">
        <w:trPr>
          <w:trHeight w:val="87"/>
        </w:trPr>
        <w:tc>
          <w:tcPr>
            <w:tcW w:w="5000" w:type="pct"/>
            <w:gridSpan w:val="3"/>
          </w:tcPr>
          <w:p w14:paraId="6D7D15F5"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t xml:space="preserve">Διδακτική Ενότητα 3: </w:t>
            </w:r>
            <w:proofErr w:type="spellStart"/>
            <w:r w:rsidRPr="000E2FC7">
              <w:rPr>
                <w:rFonts w:ascii="Calibri" w:eastAsia="Times New Roman" w:hAnsi="Calibri" w:cs="Times New Roman"/>
                <w:i/>
              </w:rPr>
              <w:t>Ανδρολογικές</w:t>
            </w:r>
            <w:proofErr w:type="spellEnd"/>
            <w:r w:rsidRPr="000E2FC7">
              <w:rPr>
                <w:rFonts w:ascii="Calibri" w:eastAsia="Times New Roman" w:hAnsi="Calibri" w:cs="Times New Roman"/>
                <w:i/>
              </w:rPr>
              <w:t xml:space="preserve"> Παθήσεις </w:t>
            </w:r>
          </w:p>
          <w:p w14:paraId="72C03C7B"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rPr>
              <w:t>Τι έχει αλλάξει στην αντιμετώπιση των παθήσεων του γεννητικού συστήματος του άνδρα</w:t>
            </w:r>
          </w:p>
        </w:tc>
      </w:tr>
      <w:tr w:rsidR="00802A68" w:rsidRPr="000E2FC7" w14:paraId="29151889" w14:textId="77777777" w:rsidTr="008835BF">
        <w:trPr>
          <w:trHeight w:val="87"/>
        </w:trPr>
        <w:tc>
          <w:tcPr>
            <w:tcW w:w="5000" w:type="pct"/>
            <w:gridSpan w:val="3"/>
          </w:tcPr>
          <w:p w14:paraId="66C1C3E3"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3284BB60"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 xml:space="preserve">Στην εισήγηση μελετώνται οι αλλαγές στην αντιμετώπιση της </w:t>
            </w:r>
            <w:proofErr w:type="spellStart"/>
            <w:r w:rsidRPr="000E2FC7">
              <w:rPr>
                <w:rFonts w:ascii="Calibri" w:eastAsia="Times New Roman" w:hAnsi="Calibri" w:cs="Times New Roman"/>
                <w:i/>
                <w:iCs/>
              </w:rPr>
              <w:t>προστατίτιδας</w:t>
            </w:r>
            <w:proofErr w:type="spellEnd"/>
            <w:r w:rsidRPr="000E2FC7">
              <w:rPr>
                <w:rFonts w:ascii="Calibri" w:eastAsia="Times New Roman" w:hAnsi="Calibri" w:cs="Times New Roman"/>
                <w:i/>
                <w:iCs/>
              </w:rPr>
              <w:t>, της καλοήθους υπερπλασίας του προστάτη και της στυτικής δυσλειτουργίας μεταξύ άλλων.</w:t>
            </w:r>
          </w:p>
        </w:tc>
      </w:tr>
      <w:tr w:rsidR="00802A68" w:rsidRPr="000E2FC7" w14:paraId="08BC41A4" w14:textId="77777777" w:rsidTr="008835BF">
        <w:trPr>
          <w:trHeight w:val="512"/>
        </w:trPr>
        <w:tc>
          <w:tcPr>
            <w:tcW w:w="808" w:type="pct"/>
          </w:tcPr>
          <w:p w14:paraId="295AFE43"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22D9168D"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7D42DA43"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Διδάσκουσα/Διδάσκων</w:t>
            </w:r>
          </w:p>
        </w:tc>
      </w:tr>
      <w:tr w:rsidR="00802A68" w:rsidRPr="000E2FC7" w14:paraId="635AB2B2" w14:textId="77777777" w:rsidTr="008835BF">
        <w:trPr>
          <w:trHeight w:val="128"/>
        </w:trPr>
        <w:tc>
          <w:tcPr>
            <w:tcW w:w="808" w:type="pct"/>
            <w:vAlign w:val="center"/>
          </w:tcPr>
          <w:p w14:paraId="392EE973"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57BEB572"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tcPr>
          <w:p w14:paraId="4A43B9FE"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r w:rsidRPr="000E2FC7">
              <w:rPr>
                <w:rFonts w:ascii="Calibri" w:eastAsia="Times New Roman" w:hAnsi="Calibri" w:cs="Times New Roman"/>
                <w:b/>
                <w:bCs/>
                <w:i/>
              </w:rPr>
              <w:t>Χατζηχρήστου Δημήτριος</w:t>
            </w:r>
          </w:p>
          <w:p w14:paraId="23432E7A" w14:textId="77777777" w:rsidR="00802A68" w:rsidRPr="000E2FC7" w:rsidRDefault="00802A68" w:rsidP="008835BF">
            <w:pPr>
              <w:keepNext/>
              <w:spacing w:before="0" w:after="0" w:line="240" w:lineRule="auto"/>
              <w:ind w:right="357"/>
              <w:jc w:val="center"/>
              <w:rPr>
                <w:rFonts w:ascii="Calibri" w:eastAsia="Times New Roman" w:hAnsi="Calibri" w:cs="Times New Roman"/>
                <w:szCs w:val="24"/>
              </w:rPr>
            </w:pPr>
            <w:r w:rsidRPr="000E2FC7">
              <w:rPr>
                <w:rFonts w:ascii="Calibri" w:eastAsia="Times New Roman" w:hAnsi="Calibri" w:cs="Times New Roman"/>
                <w:i/>
              </w:rPr>
              <w:t>Καθηγητής Ουρολογίας ΑΠΘ</w:t>
            </w:r>
          </w:p>
        </w:tc>
      </w:tr>
      <w:tr w:rsidR="00802A68" w:rsidRPr="000E2FC7" w14:paraId="6491D704" w14:textId="77777777" w:rsidTr="008835BF">
        <w:trPr>
          <w:trHeight w:val="87"/>
        </w:trPr>
        <w:tc>
          <w:tcPr>
            <w:tcW w:w="5000" w:type="pct"/>
            <w:gridSpan w:val="3"/>
          </w:tcPr>
          <w:p w14:paraId="29862F3B"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t xml:space="preserve">Διδακτική Ενότητα 4: </w:t>
            </w:r>
            <w:r w:rsidRPr="000E2FC7">
              <w:rPr>
                <w:rFonts w:ascii="Calibri" w:eastAsia="Times New Roman" w:hAnsi="Calibri" w:cs="Times New Roman"/>
                <w:i/>
              </w:rPr>
              <w:t>Λοιμώξεις του ουροποιητικού και αναπαραγωγικού συστήματος</w:t>
            </w:r>
          </w:p>
          <w:p w14:paraId="1BCEB8BC"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rPr>
              <w:t>Ουρολοιμώξεις και ακράτεια ούρων: Δύο παραγνωρισμένες αιτίες μείωσης της ποιότητας ζωής</w:t>
            </w:r>
          </w:p>
        </w:tc>
      </w:tr>
      <w:tr w:rsidR="00802A68" w:rsidRPr="000E2FC7" w14:paraId="44192705" w14:textId="77777777" w:rsidTr="008835BF">
        <w:trPr>
          <w:trHeight w:val="87"/>
        </w:trPr>
        <w:tc>
          <w:tcPr>
            <w:tcW w:w="5000" w:type="pct"/>
            <w:gridSpan w:val="3"/>
          </w:tcPr>
          <w:p w14:paraId="49F2A2AC"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7C5781BD"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Οι ουρολοιμώξεις και η ακράτεια ούρων είναι δύο παθολογικές καταστάσεις που εμφανίζονται σε όλες τις ηλικίες και επηρεάζουν και τα δύο φύλα. Πολύ συχνά η επίπτωση τους είναι τέτοια που επηρεάζει αρνητικά την ποιότητα ζωής των ασθενών. Ποιες είναι οι αιτίες εμφάνισής τους, η συμπτωματολογία τους και οι τρόποι αντιμετώπισής τους.</w:t>
            </w:r>
          </w:p>
        </w:tc>
      </w:tr>
      <w:tr w:rsidR="00802A68" w:rsidRPr="000E2FC7" w14:paraId="726F57C8" w14:textId="77777777" w:rsidTr="008835BF">
        <w:trPr>
          <w:trHeight w:val="512"/>
        </w:trPr>
        <w:tc>
          <w:tcPr>
            <w:tcW w:w="808" w:type="pct"/>
          </w:tcPr>
          <w:p w14:paraId="13FAD24C"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18625B2B"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105044E2"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Διδάσκουσα/Διδάσκων</w:t>
            </w:r>
          </w:p>
        </w:tc>
      </w:tr>
      <w:tr w:rsidR="00802A68" w:rsidRPr="000E2FC7" w14:paraId="206DE191" w14:textId="77777777" w:rsidTr="008835BF">
        <w:trPr>
          <w:trHeight w:val="128"/>
        </w:trPr>
        <w:tc>
          <w:tcPr>
            <w:tcW w:w="808" w:type="pct"/>
            <w:vAlign w:val="center"/>
          </w:tcPr>
          <w:p w14:paraId="34879103"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4FD2F595"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tcPr>
          <w:p w14:paraId="6B2438A2"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proofErr w:type="spellStart"/>
            <w:r w:rsidRPr="000E2FC7">
              <w:rPr>
                <w:rFonts w:ascii="Calibri" w:eastAsia="Times New Roman" w:hAnsi="Calibri" w:cs="Times New Roman"/>
                <w:b/>
                <w:bCs/>
                <w:i/>
              </w:rPr>
              <w:t>Κολιάκος</w:t>
            </w:r>
            <w:proofErr w:type="spellEnd"/>
            <w:r w:rsidRPr="000E2FC7">
              <w:rPr>
                <w:rFonts w:ascii="Calibri" w:eastAsia="Times New Roman" w:hAnsi="Calibri" w:cs="Times New Roman"/>
                <w:b/>
                <w:bCs/>
                <w:i/>
              </w:rPr>
              <w:t xml:space="preserve"> Νικόλαος</w:t>
            </w:r>
          </w:p>
          <w:p w14:paraId="679D8115"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Διδάκτωρ ΑΠΘ, Επιστημονικός Συνεργάτης</w:t>
            </w:r>
          </w:p>
        </w:tc>
      </w:tr>
      <w:tr w:rsidR="00802A68" w:rsidRPr="000E2FC7" w14:paraId="03BD97BC" w14:textId="77777777" w:rsidTr="008835BF">
        <w:trPr>
          <w:trHeight w:val="87"/>
        </w:trPr>
        <w:tc>
          <w:tcPr>
            <w:tcW w:w="5000" w:type="pct"/>
            <w:gridSpan w:val="3"/>
          </w:tcPr>
          <w:p w14:paraId="32733079"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t xml:space="preserve">Διδακτική Ενότητα 5: </w:t>
            </w:r>
            <w:r w:rsidRPr="000E2FC7">
              <w:rPr>
                <w:rFonts w:ascii="Calibri" w:eastAsia="Times New Roman" w:hAnsi="Calibri" w:cs="Times New Roman"/>
                <w:i/>
              </w:rPr>
              <w:t>Λοιμώξεις του ουροποιητικού και αναπαραγωγικού συστήματος</w:t>
            </w:r>
          </w:p>
          <w:p w14:paraId="08175FA9"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rPr>
              <w:t>Λοιμώξεις και νοσήματα μετά το καλοκαίρι: Μυκητιάσεις, Τραχηλίτιδα, Τριχομονάδα, Κονδυλώματα</w:t>
            </w:r>
          </w:p>
        </w:tc>
      </w:tr>
      <w:tr w:rsidR="00802A68" w:rsidRPr="000E2FC7" w14:paraId="758A1A77" w14:textId="77777777" w:rsidTr="008835BF">
        <w:trPr>
          <w:trHeight w:val="87"/>
        </w:trPr>
        <w:tc>
          <w:tcPr>
            <w:tcW w:w="5000" w:type="pct"/>
            <w:gridSpan w:val="3"/>
          </w:tcPr>
          <w:p w14:paraId="1B72C9C3"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1DB2F5BD"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 xml:space="preserve">Πρόκειται για ανάπτυξη της αιτιολογίας, του </w:t>
            </w:r>
            <w:proofErr w:type="spellStart"/>
            <w:r w:rsidRPr="000E2FC7">
              <w:rPr>
                <w:rFonts w:ascii="Calibri" w:eastAsia="Times New Roman" w:hAnsi="Calibri" w:cs="Times New Roman"/>
                <w:i/>
                <w:iCs/>
              </w:rPr>
              <w:t>επιπολασμού</w:t>
            </w:r>
            <w:proofErr w:type="spellEnd"/>
            <w:r w:rsidRPr="000E2FC7">
              <w:rPr>
                <w:rFonts w:ascii="Calibri" w:eastAsia="Times New Roman" w:hAnsi="Calibri" w:cs="Times New Roman"/>
                <w:i/>
                <w:iCs/>
              </w:rPr>
              <w:t xml:space="preserve">, της κλινικής εικόνας, του τρόπου μετάδοσης, της εργαστηριακής διερεύνησης και της διάγνωσης, καθώς και της θεραπείας και της πρόληψης των </w:t>
            </w:r>
            <w:proofErr w:type="spellStart"/>
            <w:r w:rsidRPr="000E2FC7">
              <w:rPr>
                <w:rFonts w:ascii="Calibri" w:eastAsia="Times New Roman" w:hAnsi="Calibri" w:cs="Times New Roman"/>
                <w:i/>
                <w:iCs/>
              </w:rPr>
              <w:t>μυκητιασικών</w:t>
            </w:r>
            <w:proofErr w:type="spellEnd"/>
            <w:r w:rsidRPr="000E2FC7">
              <w:rPr>
                <w:rFonts w:ascii="Calibri" w:eastAsia="Times New Roman" w:hAnsi="Calibri" w:cs="Times New Roman"/>
                <w:i/>
                <w:iCs/>
              </w:rPr>
              <w:t xml:space="preserve"> κολπίτιδων, των λοιμώξεων του κόλπου και του τραχήλου από λοιμογόνους παράγοντες όπως η τριχομονάδα, ο γονόκοκκος και άλλα μικρόβια της κοινότητας καθώς και των </w:t>
            </w:r>
            <w:proofErr w:type="spellStart"/>
            <w:r w:rsidRPr="000E2FC7">
              <w:rPr>
                <w:rFonts w:ascii="Calibri" w:eastAsia="Times New Roman" w:hAnsi="Calibri" w:cs="Times New Roman"/>
                <w:i/>
                <w:iCs/>
              </w:rPr>
              <w:t>οξυτενών</w:t>
            </w:r>
            <w:proofErr w:type="spellEnd"/>
            <w:r w:rsidRPr="000E2FC7">
              <w:rPr>
                <w:rFonts w:ascii="Calibri" w:eastAsia="Times New Roman" w:hAnsi="Calibri" w:cs="Times New Roman"/>
                <w:i/>
                <w:iCs/>
              </w:rPr>
              <w:t xml:space="preserve"> κονδυλωμάτων των γυναικείων γεννητικών οργάνων.</w:t>
            </w:r>
          </w:p>
        </w:tc>
      </w:tr>
      <w:tr w:rsidR="00802A68" w:rsidRPr="000E2FC7" w14:paraId="0ADC447A" w14:textId="77777777" w:rsidTr="008835BF">
        <w:trPr>
          <w:trHeight w:val="512"/>
        </w:trPr>
        <w:tc>
          <w:tcPr>
            <w:tcW w:w="808" w:type="pct"/>
          </w:tcPr>
          <w:p w14:paraId="4E263A05"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2B8CB626"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50348B99"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Διδάσκουσα/Διδάσκων</w:t>
            </w:r>
          </w:p>
        </w:tc>
      </w:tr>
      <w:tr w:rsidR="00802A68" w:rsidRPr="000E2FC7" w14:paraId="1E0B6B2A" w14:textId="77777777" w:rsidTr="008835BF">
        <w:trPr>
          <w:trHeight w:val="128"/>
        </w:trPr>
        <w:tc>
          <w:tcPr>
            <w:tcW w:w="808" w:type="pct"/>
            <w:vAlign w:val="center"/>
          </w:tcPr>
          <w:p w14:paraId="3F3BB245"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7032D283"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tcPr>
          <w:p w14:paraId="68C2D66F"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proofErr w:type="spellStart"/>
            <w:r w:rsidRPr="000E2FC7">
              <w:rPr>
                <w:rFonts w:ascii="Calibri" w:eastAsia="Times New Roman" w:hAnsi="Calibri" w:cs="Times New Roman"/>
                <w:b/>
                <w:bCs/>
                <w:i/>
              </w:rPr>
              <w:t>Μίκος</w:t>
            </w:r>
            <w:proofErr w:type="spellEnd"/>
            <w:r w:rsidRPr="000E2FC7">
              <w:rPr>
                <w:rFonts w:ascii="Calibri" w:eastAsia="Times New Roman" w:hAnsi="Calibri" w:cs="Times New Roman"/>
                <w:b/>
                <w:bCs/>
                <w:i/>
              </w:rPr>
              <w:t xml:space="preserve"> Θεμιστοκλής</w:t>
            </w:r>
          </w:p>
          <w:p w14:paraId="15A9616E" w14:textId="77777777" w:rsidR="00802A68" w:rsidRPr="000E2FC7" w:rsidRDefault="00802A68" w:rsidP="008835BF">
            <w:pPr>
              <w:keepNext/>
              <w:spacing w:before="0" w:after="0" w:line="240" w:lineRule="auto"/>
              <w:ind w:right="357"/>
              <w:jc w:val="center"/>
              <w:rPr>
                <w:rFonts w:ascii="Calibri" w:eastAsia="Times New Roman" w:hAnsi="Calibri" w:cs="Times New Roman"/>
                <w:b/>
                <w:bCs/>
                <w:i/>
              </w:rPr>
            </w:pPr>
            <w:r w:rsidRPr="000E2FC7">
              <w:rPr>
                <w:rFonts w:ascii="Calibri" w:eastAsia="Times New Roman" w:hAnsi="Calibri" w:cs="Times New Roman"/>
                <w:i/>
              </w:rPr>
              <w:t xml:space="preserve">Αν. Καθηγητής Μ-Γ, Α’ Μ-Γ Κλινική ΑΠΘ, </w:t>
            </w:r>
            <w:proofErr w:type="spellStart"/>
            <w:r w:rsidRPr="000E2FC7">
              <w:rPr>
                <w:rFonts w:ascii="Calibri" w:eastAsia="Times New Roman" w:hAnsi="Calibri" w:cs="Times New Roman"/>
                <w:i/>
              </w:rPr>
              <w:t>Νοσ</w:t>
            </w:r>
            <w:proofErr w:type="spellEnd"/>
            <w:r w:rsidRPr="000E2FC7">
              <w:rPr>
                <w:rFonts w:ascii="Calibri" w:eastAsia="Times New Roman" w:hAnsi="Calibri" w:cs="Times New Roman"/>
                <w:i/>
              </w:rPr>
              <w:t>. Παπαγεωργίου</w:t>
            </w:r>
          </w:p>
        </w:tc>
      </w:tr>
      <w:tr w:rsidR="00802A68" w:rsidRPr="000E2FC7" w14:paraId="415C8657" w14:textId="77777777" w:rsidTr="008835BF">
        <w:trPr>
          <w:trHeight w:val="87"/>
        </w:trPr>
        <w:tc>
          <w:tcPr>
            <w:tcW w:w="5000" w:type="pct"/>
            <w:gridSpan w:val="3"/>
          </w:tcPr>
          <w:p w14:paraId="371AF88F"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rPr>
            </w:pPr>
            <w:r w:rsidRPr="000E2FC7">
              <w:rPr>
                <w:rFonts w:ascii="Calibri" w:eastAsia="Times New Roman" w:hAnsi="Calibri" w:cs="Times New Roman"/>
                <w:b/>
                <w:color w:val="05777D"/>
              </w:rPr>
              <w:lastRenderedPageBreak/>
              <w:t xml:space="preserve">Διδακτική Ενότητα 2: </w:t>
            </w:r>
            <w:r w:rsidRPr="000E2FC7">
              <w:rPr>
                <w:rFonts w:ascii="Calibri" w:eastAsia="Times New Roman" w:hAnsi="Calibri" w:cs="Times New Roman"/>
                <w:i/>
              </w:rPr>
              <w:t>Φαρμακολογία και Θεραπευτική</w:t>
            </w:r>
          </w:p>
          <w:p w14:paraId="20BE58AC"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i/>
                <w:iCs/>
              </w:rPr>
            </w:pPr>
            <w:r w:rsidRPr="000E2FC7">
              <w:rPr>
                <w:rFonts w:ascii="Calibri" w:eastAsia="Times New Roman" w:hAnsi="Calibri" w:cs="Times New Roman"/>
                <w:i/>
              </w:rPr>
              <w:t>Σύγχρονες επιστημονικές προσεγγίσεις για την ενίσχυση της αποτελεσματικότητας και ασφάλειας στη φαρμακευτική αγωγή</w:t>
            </w:r>
          </w:p>
        </w:tc>
      </w:tr>
      <w:tr w:rsidR="00802A68" w:rsidRPr="000E2FC7" w14:paraId="4CDADC8F" w14:textId="77777777" w:rsidTr="008835BF">
        <w:trPr>
          <w:trHeight w:val="87"/>
        </w:trPr>
        <w:tc>
          <w:tcPr>
            <w:tcW w:w="5000" w:type="pct"/>
            <w:gridSpan w:val="3"/>
          </w:tcPr>
          <w:p w14:paraId="159A98DE" w14:textId="77777777" w:rsidR="00802A68" w:rsidRPr="000E2FC7" w:rsidRDefault="00802A68" w:rsidP="008835BF">
            <w:pPr>
              <w:keepNext/>
              <w:spacing w:before="0" w:after="0" w:line="240" w:lineRule="auto"/>
              <w:ind w:right="357"/>
              <w:contextualSpacing/>
              <w:jc w:val="center"/>
              <w:rPr>
                <w:rFonts w:ascii="Calibri" w:eastAsia="Times New Roman" w:hAnsi="Calibri" w:cs="Times New Roman"/>
                <w:b/>
                <w:bCs/>
                <w:i/>
              </w:rPr>
            </w:pPr>
            <w:r w:rsidRPr="000E2FC7">
              <w:rPr>
                <w:rFonts w:ascii="Calibri" w:eastAsia="Times New Roman" w:hAnsi="Calibri" w:cs="Times New Roman"/>
                <w:b/>
                <w:bCs/>
                <w:i/>
              </w:rPr>
              <w:t>Περιγραφή</w:t>
            </w:r>
          </w:p>
          <w:p w14:paraId="66E72748" w14:textId="77777777" w:rsidR="00802A68" w:rsidRPr="000E2FC7" w:rsidRDefault="00802A68" w:rsidP="008835BF">
            <w:pPr>
              <w:keepNext/>
              <w:spacing w:before="0" w:after="0" w:line="240" w:lineRule="auto"/>
              <w:ind w:right="357"/>
              <w:contextualSpacing/>
              <w:jc w:val="both"/>
              <w:rPr>
                <w:rFonts w:ascii="Calibri" w:eastAsia="Times New Roman" w:hAnsi="Calibri" w:cs="Times New Roman"/>
                <w:i/>
                <w:iCs/>
              </w:rPr>
            </w:pPr>
            <w:r w:rsidRPr="000E2FC7">
              <w:rPr>
                <w:rFonts w:ascii="Calibri" w:eastAsia="Times New Roman" w:hAnsi="Calibri" w:cs="Times New Roman"/>
                <w:i/>
                <w:iCs/>
              </w:rPr>
              <w:t xml:space="preserve">Η πρόβλεψη και η ανάλυση αλληλεπιδράσεων των φαρμάκων, θέματα </w:t>
            </w:r>
            <w:proofErr w:type="spellStart"/>
            <w:r w:rsidRPr="000E2FC7">
              <w:rPr>
                <w:rFonts w:ascii="Calibri" w:eastAsia="Times New Roman" w:hAnsi="Calibri" w:cs="Times New Roman"/>
                <w:i/>
                <w:iCs/>
              </w:rPr>
              <w:t>φαρμακογονιδιωματικής</w:t>
            </w:r>
            <w:proofErr w:type="spellEnd"/>
            <w:r w:rsidRPr="000E2FC7">
              <w:rPr>
                <w:rFonts w:ascii="Calibri" w:eastAsia="Times New Roman" w:hAnsi="Calibri" w:cs="Times New Roman"/>
                <w:i/>
                <w:iCs/>
              </w:rPr>
              <w:t xml:space="preserve"> ανάλυσης, και σύγχρονες προσεγγίσεις εξατομίκευσης των </w:t>
            </w:r>
            <w:proofErr w:type="spellStart"/>
            <w:r w:rsidRPr="000E2FC7">
              <w:rPr>
                <w:rFonts w:ascii="Calibri" w:eastAsia="Times New Roman" w:hAnsi="Calibri" w:cs="Times New Roman"/>
                <w:i/>
                <w:iCs/>
              </w:rPr>
              <w:t>δοσολογικών</w:t>
            </w:r>
            <w:proofErr w:type="spellEnd"/>
            <w:r w:rsidRPr="000E2FC7">
              <w:rPr>
                <w:rFonts w:ascii="Calibri" w:eastAsia="Times New Roman" w:hAnsi="Calibri" w:cs="Times New Roman"/>
                <w:i/>
                <w:iCs/>
              </w:rPr>
              <w:t xml:space="preserve"> σχημάτων παρουσιάζονται και συζητούνται για την ενίσχυση της αποτελεσματικότητας και ασφάλειας στη φαρμακευτική αγωγή.</w:t>
            </w:r>
          </w:p>
        </w:tc>
      </w:tr>
      <w:tr w:rsidR="00802A68" w:rsidRPr="000E2FC7" w14:paraId="5F5842AC" w14:textId="77777777" w:rsidTr="008835BF">
        <w:trPr>
          <w:trHeight w:val="512"/>
        </w:trPr>
        <w:tc>
          <w:tcPr>
            <w:tcW w:w="808" w:type="pct"/>
          </w:tcPr>
          <w:p w14:paraId="034C26E8" w14:textId="77777777" w:rsidR="00802A68" w:rsidRPr="000E2FC7" w:rsidRDefault="00802A68" w:rsidP="008835BF">
            <w:pPr>
              <w:keepNext/>
              <w:tabs>
                <w:tab w:val="left" w:pos="2268"/>
              </w:tabs>
              <w:spacing w:before="0" w:after="0" w:line="240" w:lineRule="auto"/>
              <w:ind w:right="357"/>
              <w:rPr>
                <w:rFonts w:ascii="Calibri" w:eastAsia="Times New Roman" w:hAnsi="Calibri" w:cs="Times New Roman"/>
                <w:i/>
                <w:color w:val="05777D"/>
              </w:rPr>
            </w:pPr>
            <w:r w:rsidRPr="000E2FC7">
              <w:rPr>
                <w:rFonts w:ascii="Calibri" w:eastAsia="Times New Roman" w:hAnsi="Calibri" w:cs="Times New Roman"/>
                <w:b/>
                <w:color w:val="05777D"/>
              </w:rPr>
              <w:t>Ώρες</w:t>
            </w:r>
          </w:p>
        </w:tc>
        <w:tc>
          <w:tcPr>
            <w:tcW w:w="1398" w:type="pct"/>
          </w:tcPr>
          <w:p w14:paraId="1B7D344D"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 xml:space="preserve">Μέθοδος υλοποίησης </w:t>
            </w:r>
          </w:p>
        </w:tc>
        <w:tc>
          <w:tcPr>
            <w:tcW w:w="2794" w:type="pct"/>
          </w:tcPr>
          <w:p w14:paraId="2D4C3349" w14:textId="77777777" w:rsidR="00802A68" w:rsidRPr="000E2FC7" w:rsidRDefault="00802A68" w:rsidP="008835BF">
            <w:pPr>
              <w:keepNext/>
              <w:spacing w:before="0" w:after="0" w:line="240" w:lineRule="auto"/>
              <w:ind w:right="357"/>
              <w:rPr>
                <w:rFonts w:ascii="Calibri" w:eastAsia="Times New Roman" w:hAnsi="Calibri" w:cs="Times New Roman"/>
                <w:b/>
                <w:color w:val="05777D"/>
              </w:rPr>
            </w:pPr>
            <w:r w:rsidRPr="000E2FC7">
              <w:rPr>
                <w:rFonts w:ascii="Calibri" w:eastAsia="Times New Roman" w:hAnsi="Calibri" w:cs="Times New Roman"/>
                <w:b/>
                <w:color w:val="05777D"/>
              </w:rPr>
              <w:t>Διδάσκουσα/Διδάσκων</w:t>
            </w:r>
          </w:p>
        </w:tc>
      </w:tr>
      <w:tr w:rsidR="00802A68" w:rsidRPr="000E2FC7" w14:paraId="381B9D84" w14:textId="77777777" w:rsidTr="008835BF">
        <w:trPr>
          <w:trHeight w:val="128"/>
        </w:trPr>
        <w:tc>
          <w:tcPr>
            <w:tcW w:w="808" w:type="pct"/>
            <w:vAlign w:val="center"/>
          </w:tcPr>
          <w:p w14:paraId="5802A171" w14:textId="77777777" w:rsidR="00802A68" w:rsidRPr="000E2FC7" w:rsidRDefault="00802A68" w:rsidP="008835BF">
            <w:pPr>
              <w:spacing w:before="0" w:after="0" w:line="240" w:lineRule="auto"/>
              <w:jc w:val="center"/>
              <w:rPr>
                <w:rFonts w:ascii="Calibri" w:eastAsia="Times New Roman" w:hAnsi="Calibri" w:cs="Times New Roman"/>
                <w:b/>
                <w:color w:val="05777D"/>
              </w:rPr>
            </w:pPr>
            <w:r w:rsidRPr="000E2FC7">
              <w:rPr>
                <w:rFonts w:ascii="Calibri" w:eastAsia="Times New Roman" w:hAnsi="Calibri" w:cs="Times New Roman"/>
                <w:i/>
              </w:rPr>
              <w:t>5</w:t>
            </w:r>
          </w:p>
        </w:tc>
        <w:tc>
          <w:tcPr>
            <w:tcW w:w="1398" w:type="pct"/>
            <w:vAlign w:val="center"/>
          </w:tcPr>
          <w:p w14:paraId="77F84789"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Σύγχρονη τηλεκπαίδευση</w:t>
            </w:r>
          </w:p>
        </w:tc>
        <w:tc>
          <w:tcPr>
            <w:tcW w:w="2794" w:type="pct"/>
          </w:tcPr>
          <w:p w14:paraId="0ADD4AA9" w14:textId="77777777" w:rsidR="00802A68" w:rsidRPr="000E2FC7" w:rsidRDefault="00802A68" w:rsidP="008835BF">
            <w:pPr>
              <w:spacing w:before="0" w:after="0" w:line="240" w:lineRule="auto"/>
              <w:jc w:val="center"/>
              <w:rPr>
                <w:rFonts w:ascii="Calibri" w:eastAsia="Times New Roman" w:hAnsi="Calibri" w:cs="Times New Roman"/>
                <w:b/>
                <w:bCs/>
                <w:i/>
              </w:rPr>
            </w:pPr>
            <w:r w:rsidRPr="000E2FC7">
              <w:rPr>
                <w:rFonts w:ascii="Calibri" w:eastAsia="Times New Roman" w:hAnsi="Calibri" w:cs="Times New Roman"/>
                <w:b/>
                <w:bCs/>
                <w:i/>
              </w:rPr>
              <w:t xml:space="preserve">Ιωάννης </w:t>
            </w:r>
            <w:proofErr w:type="spellStart"/>
            <w:r w:rsidRPr="000E2FC7">
              <w:rPr>
                <w:rFonts w:ascii="Calibri" w:eastAsia="Times New Roman" w:hAnsi="Calibri" w:cs="Times New Roman"/>
                <w:b/>
                <w:bCs/>
                <w:i/>
              </w:rPr>
              <w:t>Βιζιριανάκης</w:t>
            </w:r>
            <w:proofErr w:type="spellEnd"/>
          </w:p>
          <w:p w14:paraId="6685DA7B" w14:textId="77777777" w:rsidR="00802A68" w:rsidRPr="000E2FC7" w:rsidRDefault="00802A68" w:rsidP="008835BF">
            <w:pPr>
              <w:spacing w:before="0" w:after="0" w:line="240" w:lineRule="auto"/>
              <w:jc w:val="center"/>
              <w:rPr>
                <w:rFonts w:ascii="Calibri" w:eastAsia="Times New Roman" w:hAnsi="Calibri" w:cs="Times New Roman"/>
                <w:szCs w:val="24"/>
              </w:rPr>
            </w:pPr>
            <w:r w:rsidRPr="000E2FC7">
              <w:rPr>
                <w:rFonts w:ascii="Calibri" w:eastAsia="Times New Roman" w:hAnsi="Calibri" w:cs="Times New Roman"/>
                <w:i/>
              </w:rPr>
              <w:t xml:space="preserve">Αναπληρωτής καθηγητής Μοριακής Φαρμακολογίας και </w:t>
            </w:r>
            <w:proofErr w:type="spellStart"/>
            <w:r w:rsidRPr="000E2FC7">
              <w:rPr>
                <w:rFonts w:ascii="Calibri" w:eastAsia="Times New Roman" w:hAnsi="Calibri" w:cs="Times New Roman"/>
                <w:i/>
              </w:rPr>
              <w:t>Φαρμακογονιδιωματικής</w:t>
            </w:r>
            <w:proofErr w:type="spellEnd"/>
            <w:r w:rsidRPr="000E2FC7">
              <w:rPr>
                <w:rFonts w:ascii="Calibri" w:eastAsia="Times New Roman" w:hAnsi="Calibri" w:cs="Times New Roman"/>
                <w:i/>
              </w:rPr>
              <w:t>, ΑΠΘ</w:t>
            </w:r>
          </w:p>
        </w:tc>
      </w:tr>
    </w:tbl>
    <w:p w14:paraId="16769BF6" w14:textId="77777777" w:rsidR="00802A68" w:rsidRPr="000E2FC7" w:rsidRDefault="00802A68" w:rsidP="00802A68">
      <w:pPr>
        <w:keepNext/>
        <w:spacing w:before="0" w:after="0" w:line="240" w:lineRule="auto"/>
        <w:ind w:right="357"/>
        <w:rPr>
          <w:rFonts w:ascii="Calibri" w:eastAsia="Times New Roman" w:hAnsi="Calibri" w:cs="Times New Roman"/>
          <w:b/>
          <w:color w:val="05777D"/>
        </w:rPr>
      </w:pPr>
    </w:p>
    <w:tbl>
      <w:tblPr>
        <w:tblStyle w:val="TableGrid1"/>
        <w:tblW w:w="5000" w:type="pct"/>
        <w:tblLook w:val="04A0" w:firstRow="1" w:lastRow="0" w:firstColumn="1" w:lastColumn="0" w:noHBand="0" w:noVBand="1"/>
      </w:tblPr>
      <w:tblGrid>
        <w:gridCol w:w="4832"/>
        <w:gridCol w:w="4518"/>
      </w:tblGrid>
      <w:tr w:rsidR="00802A68" w:rsidRPr="000E2FC7" w14:paraId="3838216B" w14:textId="77777777" w:rsidTr="008835BF">
        <w:tc>
          <w:tcPr>
            <w:tcW w:w="2584" w:type="pct"/>
          </w:tcPr>
          <w:p w14:paraId="5F49D906" w14:textId="77777777" w:rsidR="00802A68" w:rsidRPr="000E2FC7" w:rsidRDefault="00802A68" w:rsidP="008835BF">
            <w:pPr>
              <w:keepNext/>
              <w:spacing w:before="0" w:after="0" w:line="240" w:lineRule="auto"/>
              <w:ind w:right="357"/>
              <w:rPr>
                <w:rFonts w:ascii="Calibri" w:hAnsi="Calibri" w:cs="Times New Roman"/>
                <w:b/>
                <w:color w:val="05777D"/>
              </w:rPr>
            </w:pPr>
            <w:r w:rsidRPr="000E2FC7">
              <w:rPr>
                <w:rFonts w:ascii="Calibri" w:hAnsi="Calibri" w:cs="Times New Roman"/>
                <w:b/>
              </w:rPr>
              <w:t>Σύνολο διδακτικών ωρών</w:t>
            </w:r>
            <w:r w:rsidRPr="000E2FC7">
              <w:rPr>
                <w:rFonts w:ascii="Calibri" w:hAnsi="Calibri" w:cs="Times New Roman"/>
                <w:b/>
              </w:rPr>
              <w:tab/>
            </w:r>
          </w:p>
        </w:tc>
        <w:tc>
          <w:tcPr>
            <w:tcW w:w="2416" w:type="pct"/>
          </w:tcPr>
          <w:p w14:paraId="2F179EE9" w14:textId="77777777" w:rsidR="00802A68" w:rsidRPr="00DB4DAC" w:rsidRDefault="00802A68" w:rsidP="008835BF">
            <w:pPr>
              <w:spacing w:before="0" w:after="0" w:line="240" w:lineRule="auto"/>
              <w:rPr>
                <w:rFonts w:ascii="Calibri" w:hAnsi="Calibri" w:cs="Times New Roman"/>
                <w:b/>
                <w:color w:val="05777D"/>
                <w:lang w:val="en-US"/>
              </w:rPr>
            </w:pPr>
            <w:r w:rsidRPr="000E2FC7">
              <w:rPr>
                <w:rFonts w:ascii="Calibri" w:hAnsi="Calibri" w:cs="Times New Roman"/>
                <w:b/>
                <w:color w:val="05777D"/>
              </w:rPr>
              <w:t>3</w:t>
            </w:r>
            <w:r>
              <w:rPr>
                <w:rFonts w:ascii="Calibri" w:hAnsi="Calibri" w:cs="Times New Roman"/>
                <w:b/>
                <w:color w:val="05777D"/>
                <w:lang w:val="en-US"/>
              </w:rPr>
              <w:t>4</w:t>
            </w:r>
          </w:p>
        </w:tc>
      </w:tr>
      <w:tr w:rsidR="00802A68" w:rsidRPr="000E2FC7" w14:paraId="2AC1165C" w14:textId="77777777" w:rsidTr="008835BF">
        <w:tc>
          <w:tcPr>
            <w:tcW w:w="2584" w:type="pct"/>
          </w:tcPr>
          <w:p w14:paraId="5C66D85E" w14:textId="77777777" w:rsidR="00802A68" w:rsidRPr="000E2FC7" w:rsidRDefault="00802A68" w:rsidP="008835BF">
            <w:pPr>
              <w:keepNext/>
              <w:spacing w:before="0" w:after="0" w:line="240" w:lineRule="auto"/>
              <w:ind w:right="357"/>
              <w:rPr>
                <w:rFonts w:ascii="Calibri" w:hAnsi="Calibri" w:cs="Times New Roman"/>
                <w:b/>
              </w:rPr>
            </w:pPr>
            <w:r w:rsidRPr="000E2FC7">
              <w:rPr>
                <w:rFonts w:ascii="Calibri" w:hAnsi="Calibri" w:cs="Times New Roman"/>
                <w:b/>
              </w:rPr>
              <w:t>Παρεχόμενα ECT</w:t>
            </w:r>
            <w:r w:rsidRPr="000E2FC7">
              <w:rPr>
                <w:rFonts w:ascii="Calibri" w:hAnsi="Calibri" w:cs="Times New Roman"/>
                <w:b/>
                <w:lang w:val="en-US"/>
              </w:rPr>
              <w:t>S</w:t>
            </w:r>
          </w:p>
          <w:p w14:paraId="70876776" w14:textId="77777777" w:rsidR="00802A68" w:rsidRPr="000E2FC7" w:rsidRDefault="00802A68" w:rsidP="008835BF">
            <w:pPr>
              <w:keepNext/>
              <w:spacing w:before="0" w:after="0" w:line="240" w:lineRule="auto"/>
              <w:ind w:right="357"/>
              <w:contextualSpacing/>
              <w:rPr>
                <w:rFonts w:ascii="Calibri" w:hAnsi="Calibri" w:cs="Times New Roman"/>
                <w:b/>
                <w:color w:val="05777D"/>
              </w:rPr>
            </w:pPr>
            <w:r w:rsidRPr="000E2FC7">
              <w:rPr>
                <w:rFonts w:ascii="Calibri" w:hAnsi="Calibri" w:cs="Times New Roman"/>
                <w:i/>
                <w:iCs/>
              </w:rPr>
              <w:t xml:space="preserve">Συμβουλευτείτε το </w:t>
            </w:r>
            <w:proofErr w:type="spellStart"/>
            <w:r w:rsidRPr="000E2FC7">
              <w:rPr>
                <w:rFonts w:ascii="Calibri" w:hAnsi="Calibri" w:cs="Times New Roman"/>
                <w:i/>
                <w:iCs/>
              </w:rPr>
              <w:t>excel</w:t>
            </w:r>
            <w:proofErr w:type="spellEnd"/>
            <w:r w:rsidRPr="000E2FC7">
              <w:rPr>
                <w:rFonts w:ascii="Calibri" w:hAnsi="Calibri" w:cs="Times New Roman"/>
                <w:i/>
                <w:iCs/>
              </w:rPr>
              <w:t xml:space="preserve"> ECTS </w:t>
            </w:r>
            <w:hyperlink r:id="rId4" w:history="1">
              <w:r w:rsidRPr="000E2FC7">
                <w:rPr>
                  <w:rStyle w:val="-"/>
                  <w:rFonts w:ascii="Calibri" w:hAnsi="Calibri" w:cs="Times New Roman"/>
                  <w:i/>
                  <w:iCs/>
                  <w:color w:val="1F3864" w:themeColor="accent1" w:themeShade="80"/>
                </w:rPr>
                <w:t>ΕΔΩ</w:t>
              </w:r>
            </w:hyperlink>
          </w:p>
        </w:tc>
        <w:tc>
          <w:tcPr>
            <w:tcW w:w="2416" w:type="pct"/>
          </w:tcPr>
          <w:p w14:paraId="1599077D" w14:textId="77777777" w:rsidR="00802A68" w:rsidRPr="000E2FC7" w:rsidRDefault="00802A68" w:rsidP="008835BF">
            <w:pPr>
              <w:spacing w:before="0" w:after="0" w:line="240" w:lineRule="auto"/>
              <w:rPr>
                <w:rFonts w:ascii="Calibri" w:hAnsi="Calibri" w:cs="Times New Roman"/>
                <w:b/>
                <w:color w:val="05777D"/>
              </w:rPr>
            </w:pPr>
            <w:r w:rsidRPr="000E2FC7">
              <w:rPr>
                <w:rFonts w:ascii="Calibri" w:hAnsi="Calibri" w:cs="Times New Roman"/>
                <w:b/>
                <w:color w:val="05777D"/>
              </w:rPr>
              <w:t>2</w:t>
            </w:r>
          </w:p>
        </w:tc>
      </w:tr>
    </w:tbl>
    <w:p w14:paraId="4C8399FE" w14:textId="77777777" w:rsidR="00802A68" w:rsidRDefault="00802A68" w:rsidP="00802A68">
      <w:pPr>
        <w:keepNext/>
        <w:spacing w:after="120"/>
        <w:ind w:right="357" w:hanging="357"/>
        <w:rPr>
          <w:rFonts w:cstheme="minorHAnsi"/>
          <w:b/>
          <w:color w:val="05777D"/>
        </w:rPr>
      </w:pPr>
      <w:r w:rsidRPr="00876AD4">
        <w:rPr>
          <w:rFonts w:cstheme="minorHAnsi"/>
          <w:b/>
          <w:color w:val="05777D"/>
        </w:rPr>
        <w:t xml:space="preserve">          </w:t>
      </w:r>
    </w:p>
    <w:p w14:paraId="119640FB"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68"/>
    <w:rsid w:val="00762482"/>
    <w:rsid w:val="00802A68"/>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3900"/>
  <w15:chartTrackingRefBased/>
  <w15:docId w15:val="{E941EBDA-39C3-4D11-AE11-BF80239E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A68"/>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2A68"/>
    <w:rPr>
      <w:color w:val="0563C1" w:themeColor="hyperlink"/>
      <w:u w:val="single"/>
    </w:rPr>
  </w:style>
  <w:style w:type="table" w:styleId="a3">
    <w:name w:val="Table Grid"/>
    <w:basedOn w:val="a1"/>
    <w:uiPriority w:val="39"/>
    <w:rsid w:val="00802A6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A68"/>
    <w:pPr>
      <w:ind w:left="720"/>
      <w:contextualSpacing/>
    </w:pPr>
  </w:style>
  <w:style w:type="table" w:customStyle="1" w:styleId="TableGrid1">
    <w:name w:val="Table Grid1"/>
    <w:basedOn w:val="a1"/>
    <w:next w:val="a3"/>
    <w:uiPriority w:val="39"/>
    <w:rsid w:val="00802A6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aviou.auth.gr/wp-content/uploads/2021/03/EC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4054</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dc:creator>
  <cp:keywords/>
  <dc:description/>
  <cp:lastModifiedBy>Areti</cp:lastModifiedBy>
  <cp:revision>1</cp:revision>
  <dcterms:created xsi:type="dcterms:W3CDTF">2023-02-20T08:12:00Z</dcterms:created>
  <dcterms:modified xsi:type="dcterms:W3CDTF">2023-02-20T08:13:00Z</dcterms:modified>
</cp:coreProperties>
</file>