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cc3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c3300"/>
          <w:sz w:val="36"/>
          <w:szCs w:val="36"/>
          <w:rtl w:val="0"/>
        </w:rPr>
        <w:t xml:space="preserve">7th International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3300"/>
          <w:sz w:val="36"/>
          <w:szCs w:val="36"/>
          <w:u w:val="none"/>
          <w:shd w:fill="auto" w:val="clear"/>
          <w:vertAlign w:val="baseline"/>
          <w:rtl w:val="0"/>
        </w:rPr>
        <w:t xml:space="preserve">Summer School: Medical Law and Bioethics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cc33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3300"/>
          <w:sz w:val="40"/>
          <w:szCs w:val="40"/>
          <w:u w:val="none"/>
          <w:shd w:fill="auto" w:val="clear"/>
          <w:vertAlign w:val="baseline"/>
          <w:rtl w:val="0"/>
        </w:rPr>
        <w:t xml:space="preserve">PATIENT AUTONOMY: LEGAL, MEDICAL AND ETHICAL CONSIDERATIONS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8db3e2" w:val="clear"/>
        <w:tabs>
          <w:tab w:val="left" w:pos="151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40"/>
          <w:szCs w:val="4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1555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1701"/>
        <w:gridCol w:w="2249"/>
        <w:gridCol w:w="2287"/>
        <w:gridCol w:w="1559"/>
        <w:gridCol w:w="2126"/>
        <w:gridCol w:w="1985"/>
        <w:gridCol w:w="1966"/>
        <w:gridCol w:w="18"/>
        <w:tblGridChange w:id="0">
          <w:tblGrid>
            <w:gridCol w:w="1668"/>
            <w:gridCol w:w="1701"/>
            <w:gridCol w:w="2249"/>
            <w:gridCol w:w="2287"/>
            <w:gridCol w:w="1559"/>
            <w:gridCol w:w="2126"/>
            <w:gridCol w:w="1985"/>
            <w:gridCol w:w="1966"/>
            <w:gridCol w:w="18"/>
          </w:tblGrid>
        </w:tblGridChange>
      </w:tblGrid>
      <w:tr>
        <w:trPr>
          <w:cantSplit w:val="0"/>
          <w:trHeight w:val="705" w:hRule="atLeast"/>
          <w:tblHeader w:val="1"/>
        </w:trPr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.7.202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.7.202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.7.202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.7.202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.7.202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.7.202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8db3e2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.7.202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09:15 –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DrJur. T. Vidalis, HNBCT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Physician-patient relationship: paternalism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autonomy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Assist. Prof. T. Dagklis, AUTh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Practicing the medical profession nowadays: challenges and perspectives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Assoc. Prof. E. Rethimiotaki, Athens Law School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Patients rights offices in hospitals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Emer. Prof. I. Kioumis, AUTH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Patient Autonomy at the end of life: post-mortem transplantation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Assoc. Prof.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46" w:firstLine="0"/>
              <w:rPr>
                <w:rFonts w:ascii="Arial" w:cs="Arial" w:eastAsia="Arial" w:hAnsi="Arial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M. Belov,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University of Sofia 'St Kliment Ohridski':</w:t>
            </w:r>
            <w:r w:rsidDel="00000000" w:rsidR="00000000" w:rsidRPr="00000000">
              <w:rPr>
                <w:rFonts w:ascii="Arial" w:cs="Arial" w:eastAsia="Arial" w:hAnsi="Arial"/>
                <w:color w:val="cc33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Does compulsory vaccination jeopardize autonomy?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.45 –1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8db3e2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09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 –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Assist. Prof. G. Karavokyris, AUTh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c33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The theory of autonomy: will, reason and consent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Visiting Prof. C. Seitz, University of Ghent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Patient autonomy and data privacy -Legal framework for health and genetic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Asist. Prof. F. Panagopoulou-Koutnatzi, Panteion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right to abortion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Assoc. Prof. L. Papadopoulou, AUTh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Patients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Autonomy at the End of Life: Euthanasia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Dr Antonios Βillis, AUTh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Patient autonomy in highly technological care contexts (personalized medicine, digital technology,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.30 –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8db3e2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09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COFFEE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9" w:hRule="atLeast"/>
          <w:tblHeader w:val="0"/>
        </w:trPr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33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Prof. I. Kriari-Katrani, Panteion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Patient autonomy and neurosciences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Assoc. Prof. R. Dumache ,  University Timisoara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Forensic DNA Phenotyping (FDP): Ethical aspects and the autonomy of the 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Assoc. Prof. D. Chernyaeva, HSE University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Patient autonomy and the right not to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DrJur. M. Sheppard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Parental refusal of blood transfusion for minors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0000"/>
                <w:sz w:val="24"/>
                <w:szCs w:val="24"/>
                <w:highlight w:val="white"/>
                <w:rtl w:val="0"/>
              </w:rPr>
              <w:t xml:space="preserve">Prof. K. Fountedaki, AUTh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Refusal of medical treatment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8db3e2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LUNCH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Welcome Address and Introduction to the Thematic Issue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color w:val="cc33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2"/>
                <w:szCs w:val="22"/>
                <w:rtl w:val="0"/>
              </w:rPr>
              <w:t xml:space="preserve">Dean-Prof. P. Glavinis, AUTH,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cc33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2"/>
                <w:szCs w:val="22"/>
                <w:rtl w:val="0"/>
              </w:rPr>
              <w:t xml:space="preserve">Prof. E. Symeonidou-Kastanidou, AUTH, Dr. Ch. Tsekeris, HNCBT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rFonts w:ascii="Arial" w:cs="Arial" w:eastAsia="Arial" w:hAnsi="Arial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Assoc. Prof. Ch. Sardeli, AUTh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Workshop: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Hippocratic Oath and the Principles of Medical Ethics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Dr Genetics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V. Mollaki, HNCBT: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Workshop: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Autonomy in clinical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33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Assist. Prof B. Nikolić, University of Ljubljana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Workshop: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ECtHR jurisprudence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33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3300"/>
                <w:sz w:val="24"/>
                <w:szCs w:val="24"/>
                <w:rtl w:val="0"/>
              </w:rPr>
              <w:t xml:space="preserve">Prof. J. A. Seoane, University of Coruña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Workshop: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ECtHR jurisprudence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cc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0" w:w="16840" w:orient="landscape"/>
      <w:pgMar w:bottom="709" w:top="931" w:left="1440" w:right="144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-476249</wp:posOffset>
          </wp:positionH>
          <wp:positionV relativeFrom="paragraph">
            <wp:posOffset>85725</wp:posOffset>
          </wp:positionV>
          <wp:extent cx="3169920" cy="951230"/>
          <wp:effectExtent b="0" l="0" r="0" t="0"/>
          <wp:wrapNone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9920" cy="9512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5629275</wp:posOffset>
          </wp:positionH>
          <wp:positionV relativeFrom="paragraph">
            <wp:posOffset>85725</wp:posOffset>
          </wp:positionV>
          <wp:extent cx="2688590" cy="701040"/>
          <wp:effectExtent b="0" l="0" r="0" t="0"/>
          <wp:wrapNone/>
          <wp:docPr id="10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88590" cy="70104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8996.0" w:type="dxa"/>
      <w:jc w:val="left"/>
      <w:tblInd w:w="-743.0" w:type="dxa"/>
      <w:tblLayout w:type="fixed"/>
      <w:tblLook w:val="0000"/>
    </w:tblPr>
    <w:tblGrid>
      <w:gridCol w:w="15452"/>
      <w:gridCol w:w="3544"/>
      <w:tblGridChange w:id="0">
        <w:tblGrid>
          <w:gridCol w:w="15452"/>
          <w:gridCol w:w="3544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9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840"/>
            </w:tabs>
            <w:spacing w:after="0" w:before="0" w:line="240" w:lineRule="auto"/>
            <w:ind w:left="0" w:right="-3227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         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</wp:posOffset>
                </wp:positionH>
                <wp:positionV relativeFrom="paragraph">
                  <wp:posOffset>4445</wp:posOffset>
                </wp:positionV>
                <wp:extent cx="2683510" cy="702310"/>
                <wp:effectExtent b="0" l="0" r="0" t="0"/>
                <wp:wrapNone/>
                <wp:docPr id="1028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3510" cy="702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840"/>
            </w:tabs>
            <w:spacing w:after="0" w:before="0" w:line="240" w:lineRule="auto"/>
            <w:ind w:left="0" w:right="-3227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9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780" w:right="0" w:firstLine="178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780" w:right="0" w:firstLine="178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780" w:right="0" w:firstLine="178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780" w:right="0" w:firstLine="423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00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840"/>
            </w:tabs>
            <w:spacing w:after="0" w:before="0" w:line="240" w:lineRule="auto"/>
            <w:ind w:left="0" w:right="-3227" w:firstLine="0"/>
            <w:jc w:val="center"/>
            <w:rPr>
              <w:rFonts w:ascii="Century Schoolbook" w:cs="Century Schoolbook" w:eastAsia="Century Schoolbook" w:hAnsi="Century Schoolboo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Schoolbook" w:cs="Century Schoolbook" w:eastAsia="Century Schoolbook" w:hAnsi="Century Schoolboo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l-GR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Κεφαλίδα">
    <w:name w:val="Κεφαλίδα"/>
    <w:basedOn w:val="Βασικό"/>
    <w:next w:val="Κεφαλίδα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l-GR"/>
    </w:rPr>
  </w:style>
  <w:style w:type="character" w:styleId="ΚεφαλίδαChar">
    <w:name w:val="Κεφαλίδα Char"/>
    <w:next w:val="Κεφαλίδα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l-GR"/>
    </w:rPr>
  </w:style>
  <w:style w:type="paragraph" w:styleId="Υποσέλιδο">
    <w:name w:val="Υποσέλιδο"/>
    <w:basedOn w:val="Βασικό"/>
    <w:next w:val="Υποσέλιδο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l-GR"/>
    </w:rPr>
  </w:style>
  <w:style w:type="character" w:styleId="ΥποσέλιδοChar">
    <w:name w:val="Υποσέλιδο Char"/>
    <w:next w:val="Υποσέλιδο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l-GR"/>
    </w:rPr>
  </w:style>
  <w:style w:type="paragraph" w:styleId="Κείμενοπλαισίου">
    <w:name w:val="Κείμενο πλαισίου"/>
    <w:basedOn w:val="Βασικό"/>
    <w:next w:val="Κείμενοπλαισίου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l-GR"/>
    </w:rPr>
  </w:style>
  <w:style w:type="character" w:styleId="ΚείμενοπλαισίουChar">
    <w:name w:val="Κείμενο πλαισίου Char"/>
    <w:next w:val="Κείμενοπλαισίου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el-GR"/>
    </w:rPr>
  </w:style>
  <w:style w:type="paragraph" w:styleId="Υπότιτλος">
    <w:name w:val="Υπότιτλος"/>
    <w:basedOn w:val="Βασικό"/>
    <w:next w:val="Βασικό"/>
    <w:autoRedefine w:val="0"/>
    <w:hidden w:val="0"/>
    <w:qFormat w:val="0"/>
    <w:pPr>
      <w:numPr>
        <w:ilvl w:val="1"/>
        <w:numId w:val="0"/>
      </w:numPr>
      <w:suppressAutoHyphens w:val="1"/>
      <w:spacing w:before="320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Schoolbook" w:eastAsia="MS PMincho" w:hAnsi="Century Schoolbook"/>
      <w:iCs w:val="1"/>
      <w:color w:val="9898c3"/>
      <w:spacing w:val="15"/>
      <w:w w:val="100"/>
      <w:position w:val="-1"/>
      <w:sz w:val="36"/>
      <w:szCs w:val="36"/>
      <w:effect w:val="none"/>
      <w:vertAlign w:val="baseline"/>
      <w:cs w:val="0"/>
      <w:em w:val="none"/>
      <w:lang w:bidi="ar-SA" w:eastAsia="und" w:val="und"/>
    </w:rPr>
  </w:style>
  <w:style w:type="character" w:styleId="ΥπότιτλοςChar">
    <w:name w:val="Υπότιτλος Char"/>
    <w:next w:val="ΥπότιτλοςChar"/>
    <w:autoRedefine w:val="0"/>
    <w:hidden w:val="0"/>
    <w:qFormat w:val="0"/>
    <w:rPr>
      <w:rFonts w:ascii="Century Schoolbook" w:cs="Times New Roman" w:eastAsia="MS PMincho" w:hAnsi="Century Schoolbook"/>
      <w:iCs w:val="1"/>
      <w:color w:val="9898c3"/>
      <w:spacing w:val="15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Τίτλος">
    <w:name w:val="Τίτλος"/>
    <w:basedOn w:val="Βασικό"/>
    <w:next w:val="Βασικό"/>
    <w:autoRedefine w:val="0"/>
    <w:hidden w:val="0"/>
    <w:qFormat w:val="0"/>
    <w:pPr>
      <w:suppressAutoHyphens w:val="1"/>
      <w:spacing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Schoolbook" w:eastAsia="MS PMincho" w:hAnsi="Century Schoolbook"/>
      <w:color w:val="262641"/>
      <w:spacing w:val="5"/>
      <w:w w:val="100"/>
      <w:kern w:val="28"/>
      <w:position w:val="-1"/>
      <w:sz w:val="100"/>
      <w:szCs w:val="100"/>
      <w:effect w:val="none"/>
      <w:vertAlign w:val="baseline"/>
      <w:cs w:val="0"/>
      <w:em w:val="none"/>
      <w:lang w:bidi="ar-SA" w:eastAsia="und" w:val="und"/>
    </w:rPr>
  </w:style>
  <w:style w:type="character" w:styleId="ΤίτλοςChar">
    <w:name w:val="Τίτλος Char"/>
    <w:next w:val="ΤίτλοςChar"/>
    <w:autoRedefine w:val="0"/>
    <w:hidden w:val="0"/>
    <w:qFormat w:val="0"/>
    <w:rPr>
      <w:rFonts w:ascii="Century Schoolbook" w:cs="Times New Roman" w:eastAsia="MS PMincho" w:hAnsi="Century Schoolbook"/>
      <w:color w:val="262641"/>
      <w:spacing w:val="5"/>
      <w:w w:val="100"/>
      <w:kern w:val="28"/>
      <w:position w:val="-1"/>
      <w:sz w:val="100"/>
      <w:szCs w:val="100"/>
      <w:effect w:val="none"/>
      <w:vertAlign w:val="baseline"/>
      <w:cs w:val="0"/>
      <w:em w:val="none"/>
      <w:lang/>
    </w:rPr>
  </w:style>
  <w:style w:type="table" w:styleId="Πλέγμαπίνακα">
    <w:name w:val="Πλέγμα πίνακα"/>
    <w:basedOn w:val="Κανονικόςπίνακας"/>
    <w:next w:val="Πλέγμαπίνακα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Πλέγμαπίνακα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Κανονικό(Web)">
    <w:name w:val="Κανονικό (Web)"/>
    <w:basedOn w:val="Βασικό"/>
    <w:next w:val="Κανονικό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character" w:styleId="Παραπομπήσχολίου">
    <w:name w:val="Παραπομπή σχολίου"/>
    <w:next w:val="Παραπομπήσχολίου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Κείμενοσχολίου">
    <w:name w:val="Κείμενο σχολίου"/>
    <w:basedOn w:val="Βασικό"/>
    <w:next w:val="Κείμενοσχολίου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ΚείμενοσχολίουChar">
    <w:name w:val="Κείμενο σχολίου Char"/>
    <w:next w:val="Κείμενοσχολίου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Θέμασχολίου">
    <w:name w:val="Θέμα σχολίου"/>
    <w:basedOn w:val="Κείμενοσχολίου"/>
    <w:next w:val="Κείμενοσχολίου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ΘέμασχολίουChar">
    <w:name w:val="Θέμα σχολίου Char"/>
    <w:next w:val="Θέμασχολίου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Κείμενουποσημείωσης">
    <w:name w:val="Κείμενο υποσημείωσης"/>
    <w:basedOn w:val="Βασικό"/>
    <w:next w:val="Κείμενουποσημείωση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ΚείμενουποσημείωσηςChar">
    <w:name w:val="Κείμενο υποσημείωσης Char"/>
    <w:next w:val="Κείμενουποσημείωσης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Παραπομπήυποσημείωσης">
    <w:name w:val="Παραπομπή υποσημείωσης"/>
    <w:next w:val="Παραπομπήυποσημείωσης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te+zMdoWhQz+52f0Q4Pbo4SbQ==">AMUW2mWlHtABuWHoK1zKcbT51+5dKLzMUnfld/XReAIPiAPgjvUJZ7fh5LUlxIK9+fboByb/7MJafEMTOoc2kzAjb1ncoxCuLGPObj47KP0DP+DoIOWj2gA=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2021-09-21T10:55:00Z</dcterms:created>
  <dc:creator>R</dc:creator>
</cp:coreProperties>
</file>